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center"/>
        <w:rPr>
          <w:b w:val="0"/>
          <w:bCs/>
          <w:color w:val="000000" w:themeColor="text1"/>
          <w14:textFill>
            <w14:solidFill>
              <w14:schemeClr w14:val="tx1"/>
            </w14:solidFill>
          </w14:textFill>
        </w:rPr>
      </w:pPr>
      <w:r>
        <w:rPr>
          <w:rStyle w:val="5"/>
          <w:rFonts w:hint="eastAsia" w:ascii="宋体" w:hAnsi="宋体" w:eastAsia="宋体" w:cs="宋体"/>
          <w:b w:val="0"/>
          <w:bCs/>
          <w:color w:val="000000" w:themeColor="text1"/>
          <w:sz w:val="43"/>
          <w:szCs w:val="43"/>
          <w14:textFill>
            <w14:solidFill>
              <w14:schemeClr w14:val="tx1"/>
            </w14:solidFill>
          </w14:textFill>
        </w:rPr>
        <w:t>项目支出绩</w:t>
      </w:r>
      <w:bookmarkStart w:id="0" w:name="_GoBack"/>
      <w:bookmarkEnd w:id="0"/>
      <w:r>
        <w:rPr>
          <w:rStyle w:val="5"/>
          <w:rFonts w:hint="eastAsia" w:ascii="宋体" w:hAnsi="宋体" w:eastAsia="宋体" w:cs="宋体"/>
          <w:b w:val="0"/>
          <w:bCs/>
          <w:color w:val="000000" w:themeColor="text1"/>
          <w:sz w:val="43"/>
          <w:szCs w:val="43"/>
          <w14:textFill>
            <w14:solidFill>
              <w14:schemeClr w14:val="tx1"/>
            </w14:solidFill>
          </w14:textFill>
        </w:rPr>
        <w:t>效自评报告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both"/>
        <w:rPr>
          <w:b w:val="0"/>
          <w:bCs/>
          <w:color w:val="000000" w:themeColor="text1"/>
          <w14:textFill>
            <w14:solidFill>
              <w14:schemeClr w14:val="tx1"/>
            </w14:solidFill>
          </w14:textFill>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ascii="仿宋_GB2312" w:eastAsia="仿宋_GB2312" w:cs="仿宋_GB2312"/>
          <w:b w:val="0"/>
          <w:bCs/>
          <w:color w:val="000000" w:themeColor="text1"/>
          <w:sz w:val="31"/>
          <w:szCs w:val="31"/>
          <w14:textFill>
            <w14:solidFill>
              <w14:schemeClr w14:val="tx1"/>
            </w14:solidFill>
          </w14:textFill>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ascii="黑体" w:hAnsi="宋体" w:eastAsia="黑体" w:cs="黑体"/>
          <w:b w:val="0"/>
          <w:bCs/>
          <w:color w:val="000000" w:themeColor="text1"/>
          <w:sz w:val="31"/>
          <w:szCs w:val="31"/>
          <w14:textFill>
            <w14:solidFill>
              <w14:schemeClr w14:val="tx1"/>
            </w14:solidFill>
          </w14:textFill>
        </w:rPr>
        <w:t>一、项目概况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 xml:space="preserve">（一）项目基本情况：立项情况、实施主体项目、资金及主要内容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预算单位 海南师范大学本级 的项目 教师队伍建设资金项目属于部门项目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主管部门为省教育厅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项目负责人为：</w:t>
      </w:r>
      <w:r>
        <w:rPr>
          <w:rFonts w:hint="default" w:ascii="仿宋_GB2312" w:eastAsia="仿宋_GB2312" w:cs="仿宋_GB2312"/>
          <w:b w:val="0"/>
          <w:bCs/>
          <w:color w:val="000000" w:themeColor="text1"/>
          <w:sz w:val="31"/>
          <w:szCs w:val="31"/>
          <w14:textFill>
            <w14:solidFill>
              <w14:schemeClr w14:val="tx1"/>
            </w14:solidFill>
          </w14:textFill>
        </w:rPr>
        <w:t>王聪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联系电话：</w:t>
      </w:r>
      <w:r>
        <w:rPr>
          <w:rFonts w:hint="default" w:ascii="仿宋_GB2312" w:eastAsia="仿宋_GB2312" w:cs="仿宋_GB2312"/>
          <w:b w:val="0"/>
          <w:bCs/>
          <w:color w:val="000000" w:themeColor="text1"/>
          <w:sz w:val="31"/>
          <w:szCs w:val="31"/>
          <w14:textFill>
            <w14:solidFill>
              <w14:schemeClr w14:val="tx1"/>
            </w14:solidFill>
          </w14:textFill>
        </w:rPr>
        <w:t>18789190156</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项目概述如下：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1.</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根据《海南省教育厅关于下达202</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5</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年海南省乡镇骨干教师培训计划项目任务清单的通知》（琼教师〔202</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5</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6</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号）的文件精神，为落实立德树人根本任务，助力</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提升</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乡镇小学音乐、美术学科的骨干教师教学能力、小学语文、数学、英语中西部市县基层教师教学胜任力，初等教育学院在202</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5</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年</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6</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月13日至22日</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、9月20至29日</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分别举办“海南省乡镇骨干教师学科专业能力提升培训项目</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（音乐、美术）</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培训“以教育引导实践、以实践深化教育”为主题，引领乡镇小学音乐、美术骨干教师对标核心素养、灵活运用AI教学技术，优化教学设计，破解课堂教学音乐基本技能不深入等相关难点，助力乡镇小学音乐、美术骨干教师在乡镇小学发挥骨干示范引领作用；在2025年7月15日至8月15日开展</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“海南省中西部市县基层教师开展教学胜任力提升培训</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语文、数学、英语</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线上培训</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2025年8月16日至26日开展</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“海南省中西部市县基层教师开展教学胜任力提升培训</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语文、数学、英语</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线下培训，2025年9月至11月进行3个月的跟踪指导与考核。</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共计培训</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276</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人。培训通过案例分析、实际操作等方式切实提升教师的教学设计能力和教学基本技能，提升我省中西部市县基础教育基层教师教学胜任力，打造一批适应我省乡村教学改革发展需要的合格教师，促进我省乡村振兴和基础教育均衡发展。通过此次培训，参训教师深化了对小学多学科教育现状与挑战的认识，在教育教学理念、创新思维和实践能力上实现了更新与跃升。本次培训工作圆满完成，获得培训学员一致好评。</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2.2025年海南省“乡村强师”专项培养计划</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default"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default" w:cs="仿宋"/>
          <w:b w:val="0"/>
          <w:bCs/>
          <w:i w:val="0"/>
          <w:iCs w:val="0"/>
          <w:caps w:val="0"/>
          <w:color w:val="000000" w:themeColor="text1"/>
          <w:spacing w:val="0"/>
          <w:kern w:val="0"/>
          <w:sz w:val="32"/>
          <w:szCs w:val="32"/>
          <w:lang w:val="en-US" w:eastAsia="zh-CN" w:bidi="ar"/>
          <w14:textFill>
            <w14:solidFill>
              <w14:schemeClr w14:val="tx1"/>
            </w14:solidFill>
          </w14:textFill>
        </w:rPr>
        <w:t>根据《海南省教育厅关于实施2025年海南省“乡村强师”专项培养计划的通知》（琼教师〔2025〕37号）的文件精神，为落实立德树人根本任务，助力乡镇中小学各学科骨干教师、校长学科专业能力、领导力，通过为期3年的培养培训，提升培养对象的常规教学管理力、学科课程领导力、校本教研指导力、课堂教学改革力、区域团队建设力（简称“五力”），打造一批业务过硬、甘于奉献、扎根乡村的德才兼备的基层教育教学名师，强化乡村教育优秀人才在新型城镇化中的引领和吸附作用，以达到“培训一批、带动一校、引领一科、辐射一群、发展一片”目的，促进我省乡村振兴和基础教育均衡发展，助力海南自贸港建设。</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一是</w:t>
      </w:r>
      <w:r>
        <w:rPr>
          <w:rFonts w:hint="default" w:cs="仿宋"/>
          <w:b w:val="0"/>
          <w:bCs/>
          <w:i w:val="0"/>
          <w:iCs w:val="0"/>
          <w:caps w:val="0"/>
          <w:color w:val="000000" w:themeColor="text1"/>
          <w:spacing w:val="0"/>
          <w:kern w:val="0"/>
          <w:sz w:val="32"/>
          <w:szCs w:val="32"/>
          <w:lang w:val="en-US" w:eastAsia="zh-CN" w:bidi="ar"/>
          <w14:textFill>
            <w14:solidFill>
              <w14:schemeClr w14:val="tx1"/>
            </w14:solidFill>
          </w14:textFill>
        </w:rPr>
        <w:t>采用“1+9”和“2+5”全程培训模式。“乡村强师工程”培养周期为三年，分2个阶段进行：第1年以全员全脱产的方式组织培训，“1+9”是指理论学习、跟岗研修1年左右，完成“九个一”研修任务；“2+5”是指返岗实践2年，形成“五个一”研修成果。培养培训重视挂职锻炼、跟岗研修与返岗实践的全方位融合。</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二是</w:t>
      </w:r>
      <w:r>
        <w:rPr>
          <w:rFonts w:hint="default" w:cs="仿宋"/>
          <w:b w:val="0"/>
          <w:bCs/>
          <w:i w:val="0"/>
          <w:iCs w:val="0"/>
          <w:caps w:val="0"/>
          <w:color w:val="000000" w:themeColor="text1"/>
          <w:spacing w:val="0"/>
          <w:kern w:val="0"/>
          <w:sz w:val="32"/>
          <w:szCs w:val="32"/>
          <w:lang w:val="en-US" w:eastAsia="zh-CN" w:bidi="ar"/>
          <w14:textFill>
            <w14:solidFill>
              <w14:schemeClr w14:val="tx1"/>
            </w14:solidFill>
          </w14:textFill>
        </w:rPr>
        <w:t>采用“一员一计划”个性化培训方式。培养对象实行一员三导师制：为每位培养对象配备三名导师（1名高校理论导师、1名省内跟岗学校导师和1名省外跟岗学校导师）。同时，对每一名培养对象的培训需求、实际情况进行摸底，组织导师团根据每一位培养对象的实际情况与培养对象一起制定个性化研修方案。在培养对象返岗后，分阶段组织导师团对培养对象进行驻校指导与考核。</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三是</w:t>
      </w:r>
      <w:r>
        <w:rPr>
          <w:rFonts w:hint="default" w:cs="仿宋"/>
          <w:b w:val="0"/>
          <w:bCs/>
          <w:i w:val="0"/>
          <w:iCs w:val="0"/>
          <w:caps w:val="0"/>
          <w:color w:val="000000" w:themeColor="text1"/>
          <w:spacing w:val="0"/>
          <w:kern w:val="0"/>
          <w:sz w:val="32"/>
          <w:szCs w:val="32"/>
          <w:lang w:val="en-US" w:eastAsia="zh-CN" w:bidi="ar"/>
          <w14:textFill>
            <w14:solidFill>
              <w14:schemeClr w14:val="tx1"/>
            </w14:solidFill>
          </w14:textFill>
        </w:rPr>
        <w:t>采用“五段式”递进培训安排。“五段式”递进培训主要聚焦“问题·实践·成果”三重导向，具体安排为：高校集中强化培训（15天，安排培训任务）+省内外名校跟岗学习（省内优质学校10个月+高校理论学习15天+省外优质学校1个月）+总结考核展示（2天）+返岗实践（2年，在实践和反思中完成培训任务）+驻校指导（1周，中期检查+终期考核）。</w:t>
      </w:r>
    </w:p>
    <w:p>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60" w:lineRule="auto"/>
        <w:ind w:leftChars="200" w:right="0" w:rightChars="0" w:firstLine="320" w:firstLineChars="100"/>
        <w:jc w:val="both"/>
        <w:rPr>
          <w:rFonts w:hint="eastAsia" w:ascii="仿宋_GB2312" w:hAnsi="仿宋_GB2312" w:eastAsia="仿宋_GB2312" w:cs="仿宋_GB2312"/>
          <w:b w:val="0"/>
          <w:bCs/>
          <w:color w:val="000000" w:themeColor="text1"/>
          <w:sz w:val="32"/>
          <w:szCs w:val="32"/>
          <w:lang w:bidi="ar"/>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
          <w14:textFill>
            <w14:solidFill>
              <w14:schemeClr w14:val="tx1"/>
            </w14:solidFill>
          </w14:textFill>
        </w:rPr>
        <w:t>3.</w:t>
      </w:r>
      <w:r>
        <w:rPr>
          <w:rFonts w:hint="eastAsia" w:ascii="仿宋_GB2312" w:hAnsi="仿宋_GB2312" w:eastAsia="仿宋_GB2312" w:cs="仿宋_GB2312"/>
          <w:b w:val="0"/>
          <w:bCs/>
          <w:color w:val="000000" w:themeColor="text1"/>
          <w:kern w:val="0"/>
          <w:sz w:val="32"/>
          <w:szCs w:val="32"/>
          <w:lang w:bidi="ar"/>
          <w14:textFill>
            <w14:solidFill>
              <w14:schemeClr w14:val="tx1"/>
            </w14:solidFill>
          </w14:textFill>
        </w:rPr>
        <w:t>乡村小学教师定向培养计划</w:t>
      </w:r>
      <w:r>
        <w:rPr>
          <w:rFonts w:hint="eastAsia" w:ascii="仿宋_GB2312" w:hAnsi="仿宋_GB2312" w:eastAsia="仿宋_GB2312" w:cs="仿宋_GB2312"/>
          <w:b w:val="0"/>
          <w:bCs/>
          <w:color w:val="000000" w:themeColor="text1"/>
          <w:sz w:val="32"/>
          <w:szCs w:val="32"/>
          <w:lang w:bidi="ar"/>
          <w14:textFill>
            <w14:solidFill>
              <w14:schemeClr w14:val="tx1"/>
            </w14:solidFill>
          </w14:textFill>
        </w:rPr>
        <w:t>项目</w:t>
      </w:r>
    </w:p>
    <w:p>
      <w:pPr>
        <w:pStyle w:val="2"/>
        <w:spacing w:before="0" w:beforeAutospacing="0" w:after="0" w:afterAutospacing="0" w:line="560" w:lineRule="exact"/>
        <w:ind w:firstLine="640" w:firstLineChars="200"/>
        <w:jc w:val="both"/>
        <w:rPr>
          <w:rFonts w:hint="eastAsia" w:ascii="仿宋_GB2312" w:hAnsi="仿宋" w:eastAsia="仿宋_GB2312" w:cs="仿宋"/>
          <w:b w:val="0"/>
          <w:bCs/>
          <w:color w:val="000000" w:themeColor="text1"/>
          <w:sz w:val="32"/>
          <w:szCs w:val="32"/>
          <w14:textFill>
            <w14:solidFill>
              <w14:schemeClr w14:val="tx1"/>
            </w14:solidFill>
          </w14:textFill>
        </w:rPr>
      </w:pPr>
      <w:r>
        <w:rPr>
          <w:rFonts w:hint="eastAsia" w:ascii="仿宋_GB2312" w:hAnsi="仿宋" w:eastAsia="仿宋_GB2312" w:cs="仿宋"/>
          <w:b w:val="0"/>
          <w:bCs/>
          <w:color w:val="000000" w:themeColor="text1"/>
          <w:sz w:val="32"/>
          <w:szCs w:val="32"/>
          <w14:textFill>
            <w14:solidFill>
              <w14:schemeClr w14:val="tx1"/>
            </w14:solidFill>
          </w14:textFill>
        </w:rPr>
        <w:t>海南省乡村教师定向公培生（含地方优师）计划学生报到率和毕业率均超过90%。</w:t>
      </w:r>
    </w:p>
    <w:p>
      <w:pPr>
        <w:pStyle w:val="6"/>
        <w:keepNext w:val="0"/>
        <w:keepLines w:val="0"/>
        <w:widowControl/>
        <w:suppressLineNumbers w:val="0"/>
        <w:spacing w:line="525" w:lineRule="atLeast"/>
        <w:ind w:left="0" w:firstLine="645"/>
        <w:jc w:val="both"/>
        <w:rPr>
          <w:rFonts w:hint="eastAsia" w:ascii="仿宋_GB2312" w:hAnsi="宋体" w:eastAsia="仿宋_GB2312" w:cs="仿宋_GB2312"/>
          <w:b w:val="0"/>
          <w:bCs/>
          <w:color w:val="000000" w:themeColor="text1"/>
          <w:kern w:val="0"/>
          <w:sz w:val="31"/>
          <w:szCs w:val="31"/>
          <w14:textFill>
            <w14:solidFill>
              <w14:schemeClr w14:val="tx1"/>
            </w14:solidFill>
          </w14:textFill>
        </w:rPr>
      </w:pPr>
      <w:r>
        <w:rPr>
          <w:rFonts w:hint="eastAsia" w:ascii="仿宋_GB2312" w:eastAsia="仿宋_GB2312" w:cs="仿宋"/>
          <w:b w:val="0"/>
          <w:bCs/>
          <w:color w:val="000000" w:themeColor="text1"/>
          <w:sz w:val="32"/>
          <w:szCs w:val="32"/>
          <w:lang w:val="en-US" w:eastAsia="zh-CN"/>
          <w14:textFill>
            <w14:solidFill>
              <w14:schemeClr w14:val="tx1"/>
            </w14:solidFill>
          </w14:textFill>
        </w:rPr>
        <w:t>4.</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为贯彻落实《海南省中小学</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培养工程(2021-2025年)实施方案》《中共中央 国务院关于全面深化新时代教师队伍建设改革的意见》精神，根据海南省教育厅关于印发《海南省教育厅关于下达2025年海南省中小学</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培养工程项目任务清单的通知》（</w:t>
      </w:r>
      <w:r>
        <w:rPr>
          <w:rFonts w:hint="eastAsia" w:ascii="仿宋_GB2312" w:hAnsi="宋体" w:eastAsia="仿宋_GB2312" w:cs="仿宋_GB2312"/>
          <w:b w:val="0"/>
          <w:bCs/>
          <w:color w:val="000000" w:themeColor="text1"/>
          <w:kern w:val="0"/>
          <w:sz w:val="32"/>
          <w:szCs w:val="32"/>
          <w14:textFill>
            <w14:solidFill>
              <w14:schemeClr w14:val="tx1"/>
            </w14:solidFill>
          </w14:textFill>
        </w:rPr>
        <w:t>琼教师〔2025〕3号</w:t>
      </w:r>
      <w:r>
        <w:rPr>
          <w:rFonts w:hint="eastAsia" w:ascii="仿宋_GB2312" w:hAnsi="宋体" w:eastAsia="仿宋_GB2312" w:cs="仿宋_GB2312"/>
          <w:b w:val="0"/>
          <w:bCs/>
          <w:color w:val="000000" w:themeColor="text1"/>
          <w:kern w:val="0"/>
          <w:sz w:val="31"/>
          <w:szCs w:val="31"/>
          <w14:textFill>
            <w14:solidFill>
              <w14:schemeClr w14:val="tx1"/>
            </w14:solidFill>
          </w14:textFill>
        </w:rPr>
        <w:t>）文件要求，加强海南省中学教师队伍建设，建立健全校长、教师专业成长梯队，坚持培养培训与使用相结合，充分发挥优秀校长、教师的示范、引领、辐射作用,实施2025年海南省中小学</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培养工程项目。</w:t>
      </w:r>
    </w:p>
    <w:p>
      <w:pPr>
        <w:pStyle w:val="6"/>
        <w:keepNext w:val="0"/>
        <w:keepLines w:val="0"/>
        <w:widowControl/>
        <w:suppressLineNumbers w:val="0"/>
        <w:spacing w:line="525" w:lineRule="atLeast"/>
        <w:ind w:left="0" w:firstLine="645"/>
        <w:jc w:val="both"/>
        <w:rPr>
          <w:rFonts w:hint="eastAsia" w:ascii="仿宋_GB2312" w:hAnsi="仿宋" w:eastAsia="仿宋_GB2312" w:cs="仿宋"/>
          <w:b w:val="0"/>
          <w:bCs/>
          <w:color w:val="000000" w:themeColor="text1"/>
          <w:sz w:val="32"/>
          <w:szCs w:val="32"/>
          <w14:textFill>
            <w14:solidFill>
              <w14:schemeClr w14:val="tx1"/>
            </w14:solidFill>
          </w14:textFill>
        </w:rPr>
      </w:pP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根据海南省教育厅《关于实</w:t>
      </w:r>
      <w:r>
        <w:rPr>
          <w:rFonts w:hint="eastAsia" w:ascii="仿宋_GB2312" w:hAnsi="宋体" w:eastAsia="仿宋_GB2312" w:cs="仿宋_GB2312"/>
          <w:b w:val="0"/>
          <w:bCs/>
          <w:color w:val="000000" w:themeColor="text1"/>
          <w:kern w:val="0"/>
          <w:sz w:val="31"/>
          <w:szCs w:val="31"/>
          <w14:textFill>
            <w14:solidFill>
              <w14:schemeClr w14:val="tx1"/>
            </w14:solidFill>
          </w14:textFill>
        </w:rPr>
        <w:t>施2025年</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人才工程项目的通知》（琼教师〔2025〕28号）精神，2025年</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师资培训项目由海南师范大学组织实施，有计划地帮助中西部11个市县开展教师培训工作，以提高师德素养和业务能力为核心，提升乡镇中学教师队伍整体素质，提高当地基础教育质量，建设一支适应海南自贸港建设的高素质教师队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（包括预期总目标及阶段性目标，衡量绩效目标实现程度的评价指标、标准等）</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620" w:firstLineChars="200"/>
        <w:jc w:val="both"/>
        <w:textAlignment w:val="auto"/>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1.</w:t>
      </w:r>
      <w:r>
        <w:rPr>
          <w:rFonts w:hint="default" w:ascii="仿宋_GB2312" w:eastAsia="仿宋_GB2312" w:cs="仿宋_GB2312"/>
          <w:b w:val="0"/>
          <w:bCs/>
          <w:color w:val="000000" w:themeColor="text1"/>
          <w:sz w:val="31"/>
          <w:szCs w:val="31"/>
          <w14:textFill>
            <w14:solidFill>
              <w14:schemeClr w14:val="tx1"/>
            </w14:solidFill>
          </w14:textFill>
        </w:rPr>
        <w:t>新课标为切入点，依托专题培训与课堂观摩，聚焦核心素养导向的高质量课堂现实难题，立足海南乡村教学实际，切实提升乡镇教师的教学设计、实施与多元评价能力，实现教、学、评一体化，进而带动骨干教师专业成长，转变育人观念、优化教学策略，助推基础教育优质均衡发展，锻造素质优良的乡镇骨干教师队伍，加速培育适应海南自贸港需求的高质量专业化教师队伍。</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2.2025年海南省“乡村强师”专项培养计划</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总体目标：力求解决指向核心素养的高质量课堂中的实际问题，引领乡镇骨干教师专业发展成长，革新育人理念，优化教学思维，扎根海南乡村教学实际情况，助力海南基础教育均衡发展，努力打造素质优良的海南乡镇骨干教师，加快培植海南自贸港高质量教师专业化队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Chars="200" w:right="0" w:rightChars="0" w:firstLine="320" w:firstLineChars="100"/>
        <w:jc w:val="both"/>
        <w:rPr>
          <w:rFonts w:hint="eastAsia" w:ascii="仿宋_GB2312" w:hAnsi="仿宋_GB2312" w:eastAsia="仿宋_GB2312" w:cs="仿宋_GB2312"/>
          <w:b w:val="0"/>
          <w:bCs/>
          <w:color w:val="000000" w:themeColor="text1"/>
          <w:sz w:val="32"/>
          <w:szCs w:val="32"/>
          <w:lang w:bidi="ar"/>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
          <w14:textFill>
            <w14:solidFill>
              <w14:schemeClr w14:val="tx1"/>
            </w14:solidFill>
          </w14:textFill>
        </w:rPr>
        <w:t>3.</w:t>
      </w:r>
      <w:r>
        <w:rPr>
          <w:rFonts w:hint="eastAsia" w:ascii="仿宋_GB2312" w:hAnsi="仿宋_GB2312" w:eastAsia="仿宋_GB2312" w:cs="仿宋_GB2312"/>
          <w:b w:val="0"/>
          <w:bCs/>
          <w:color w:val="000000" w:themeColor="text1"/>
          <w:kern w:val="0"/>
          <w:sz w:val="32"/>
          <w:szCs w:val="32"/>
          <w:lang w:bidi="ar"/>
          <w14:textFill>
            <w14:solidFill>
              <w14:schemeClr w14:val="tx1"/>
            </w14:solidFill>
          </w14:textFill>
        </w:rPr>
        <w:t>乡村小学教师定向培养计划</w:t>
      </w:r>
      <w:r>
        <w:rPr>
          <w:rFonts w:hint="eastAsia" w:ascii="仿宋_GB2312" w:hAnsi="仿宋_GB2312" w:eastAsia="仿宋_GB2312" w:cs="仿宋_GB2312"/>
          <w:b w:val="0"/>
          <w:bCs/>
          <w:color w:val="000000" w:themeColor="text1"/>
          <w:sz w:val="32"/>
          <w:szCs w:val="32"/>
          <w:lang w:bidi="ar"/>
          <w14:textFill>
            <w14:solidFill>
              <w14:schemeClr w14:val="tx1"/>
            </w14:solidFill>
          </w14:textFill>
        </w:rPr>
        <w:t>项目</w:t>
      </w:r>
    </w:p>
    <w:p>
      <w:pPr>
        <w:pStyle w:val="2"/>
        <w:spacing w:before="0" w:beforeAutospacing="0" w:after="0" w:afterAutospacing="0" w:line="560" w:lineRule="exact"/>
        <w:ind w:firstLine="640" w:firstLineChars="200"/>
        <w:jc w:val="both"/>
        <w:rPr>
          <w:rFonts w:hint="eastAsia" w:ascii="仿宋_GB2312" w:hAnsi="仿宋" w:eastAsia="仿宋_GB2312" w:cs="仿宋"/>
          <w:b w:val="0"/>
          <w:bCs/>
          <w:color w:val="000000" w:themeColor="text1"/>
          <w:sz w:val="32"/>
          <w:szCs w:val="32"/>
          <w14:textFill>
            <w14:solidFill>
              <w14:schemeClr w14:val="tx1"/>
            </w14:solidFill>
          </w14:textFill>
        </w:rPr>
      </w:pPr>
      <w:r>
        <w:rPr>
          <w:rFonts w:hint="eastAsia" w:ascii="仿宋_GB2312" w:hAnsi="仿宋" w:eastAsia="仿宋_GB2312" w:cs="仿宋"/>
          <w:b w:val="0"/>
          <w:bCs/>
          <w:color w:val="000000" w:themeColor="text1"/>
          <w:sz w:val="32"/>
          <w:szCs w:val="32"/>
          <w14:textFill>
            <w14:solidFill>
              <w14:schemeClr w14:val="tx1"/>
            </w14:solidFill>
          </w14:textFill>
        </w:rPr>
        <w:t>海南省乡村教师定向公培生（含地方优师）计划学生报到率和毕业率均超过90%。</w:t>
      </w:r>
    </w:p>
    <w:p>
      <w:pPr>
        <w:pStyle w:val="6"/>
        <w:keepNext w:val="0"/>
        <w:keepLines w:val="0"/>
        <w:widowControl/>
        <w:suppressLineNumbers w:val="0"/>
        <w:spacing w:line="525" w:lineRule="atLeast"/>
        <w:ind w:left="0" w:firstLine="645"/>
        <w:jc w:val="both"/>
        <w:rPr>
          <w:rFonts w:hint="eastAsia" w:ascii="仿宋_GB2312" w:hAnsi="宋体" w:eastAsia="仿宋_GB2312" w:cs="仿宋_GB2312"/>
          <w:b w:val="0"/>
          <w:bCs/>
          <w:color w:val="000000" w:themeColor="text1"/>
          <w:kern w:val="0"/>
          <w:sz w:val="31"/>
          <w:szCs w:val="31"/>
          <w14:textFill>
            <w14:solidFill>
              <w14:schemeClr w14:val="tx1"/>
            </w14:solidFill>
          </w14:textFill>
        </w:rPr>
      </w:pPr>
      <w:r>
        <w:rPr>
          <w:rFonts w:hint="eastAsia" w:ascii="仿宋_GB2312" w:eastAsia="仿宋_GB2312" w:cs="仿宋"/>
          <w:b w:val="0"/>
          <w:bCs/>
          <w:color w:val="000000" w:themeColor="text1"/>
          <w:sz w:val="32"/>
          <w:szCs w:val="32"/>
          <w:lang w:val="en-US" w:eastAsia="zh-CN"/>
          <w14:textFill>
            <w14:solidFill>
              <w14:schemeClr w14:val="tx1"/>
            </w14:solidFill>
          </w14:textFill>
        </w:rPr>
        <w:t>4.</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通过开展针对性培训活动，一方面聚焦校长队伍建设，以强化理想信念、提高道德素养、明晰专业职责为着力点，致力于打造一支品德高尚、业务精湛、治校有方、人民满意的专家型中学校长队伍，同时积极探索并建立</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省级骨干校长</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名校长</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的高层次管理人才专业发展机制，充分发挥优秀校长的示范引领作用，推动我省中学校长队伍整体素质实现质的提升；另一方面聚焦教师发展，助力教师进一步拓宽专业视野，提升师德素养与专业能力，增强反思意识与创新能力，并搭建起学员交流互动平台，构建学习共同体，使优秀教师在教育教学、教研教改、教师培训等领域充分发挥示范、引领、辐射效应，最终培育出一批师德高尚、理念先进、教学风格独具特色、教育科研能力卓越、教育艺术精湛的优秀教师队伍。</w:t>
      </w:r>
    </w:p>
    <w:p>
      <w:pPr>
        <w:pStyle w:val="6"/>
        <w:keepNext w:val="0"/>
        <w:keepLines w:val="0"/>
        <w:widowControl/>
        <w:suppressLineNumbers w:val="0"/>
        <w:spacing w:line="525" w:lineRule="atLeast"/>
        <w:ind w:left="0" w:firstLine="645"/>
        <w:jc w:val="both"/>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采取U-G-S（大学</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政府</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中小学）协同机制，实现</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职前培养</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入职指导</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职后培训</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教师教育一体化的特色，强调理论学习与实践体验相结合，通过</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研修预热</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在岗带徒反思</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问题诊断与理论研修</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跟岗体验</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校本实践与跟踪指导</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考核总结提升</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的六环节教师培训模式，聚焦学科教学管理主要问题，促进教师对于新形势下课堂教学的理解和把握，全面提升教师的课堂教学能力。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default" w:ascii="仿宋" w:hAnsi="仿宋" w:eastAsia="仿宋" w:cs="仿宋"/>
          <w:b w:val="0"/>
          <w:bCs/>
          <w:i w:val="0"/>
          <w:iCs w:val="0"/>
          <w:caps w:val="0"/>
          <w:color w:val="000000" w:themeColor="text1"/>
          <w:spacing w:val="0"/>
          <w:sz w:val="32"/>
          <w:szCs w:val="32"/>
          <w:lang w:val="en-US"/>
          <w14:textFill>
            <w14:solidFill>
              <w14:schemeClr w14:val="tx1"/>
            </w14:solidFill>
          </w14:textFill>
        </w:rPr>
      </w:pP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202</w:t>
      </w:r>
      <w:r>
        <w:rPr>
          <w:rFonts w:hint="eastAsia" w:ascii="仿宋" w:hAnsi="仿宋" w:cs="仿宋"/>
          <w:b w:val="0"/>
          <w:bCs/>
          <w:i w:val="0"/>
          <w:iCs w:val="0"/>
          <w:caps w:val="0"/>
          <w:color w:val="000000" w:themeColor="text1"/>
          <w:spacing w:val="0"/>
          <w:kern w:val="0"/>
          <w:sz w:val="32"/>
          <w:szCs w:val="32"/>
          <w:lang w:val="en-US" w:eastAsia="zh-CN" w:bidi="ar"/>
          <w14:textFill>
            <w14:solidFill>
              <w14:schemeClr w14:val="tx1"/>
            </w14:solidFill>
          </w14:textFill>
        </w:rPr>
        <w:t>5</w:t>
      </w:r>
      <w:r>
        <w:rPr>
          <w:rFonts w:hint="eastAsia" w:ascii="仿宋" w:hAnsi="仿宋" w:eastAsia="仿宋" w:cs="仿宋"/>
          <w:b w:val="0"/>
          <w:bCs/>
          <w:i w:val="0"/>
          <w:iCs w:val="0"/>
          <w:caps w:val="0"/>
          <w:color w:val="000000" w:themeColor="text1"/>
          <w:spacing w:val="0"/>
          <w:kern w:val="0"/>
          <w:sz w:val="32"/>
          <w:szCs w:val="32"/>
          <w:lang w:val="en-US" w:eastAsia="zh-CN" w:bidi="ar"/>
          <w14:textFill>
            <w14:solidFill>
              <w14:schemeClr w14:val="tx1"/>
            </w14:solidFill>
          </w14:textFill>
        </w:rPr>
        <w:t>年年度目标</w:t>
      </w: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情况：均已完成。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eastAsia" w:ascii="黑体" w:hAnsi="宋体" w:eastAsia="黑体" w:cs="黑体"/>
          <w:b w:val="0"/>
          <w:bCs/>
          <w:color w:val="000000" w:themeColor="text1"/>
          <w:sz w:val="31"/>
          <w:szCs w:val="31"/>
          <w14:textFill>
            <w14:solidFill>
              <w14:schemeClr w14:val="tx1"/>
            </w14:solidFill>
          </w14:textFill>
        </w:rPr>
        <w:t>二、项目决策及资金使用管理情况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（一）项目决策情况（包括决策过程和结果）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学院结合文件要求，学院深入调研乡镇学校实际教学需求，多次组织校内外专家进行研讨，在此基础上撰写并提交项目申报书。经专家对申报内容进行严格审议并通过后，学院进一步优化完善，最终确定了目标明确、路径清晰、切实可行的培训方案</w:t>
      </w:r>
      <w:r>
        <w:rPr>
          <w:rFonts w:hint="eastAsia" w:ascii="仿宋_GB2312" w:eastAsia="仿宋_GB2312" w:cs="仿宋_GB2312"/>
          <w:b w:val="0"/>
          <w:bCs/>
          <w:color w:val="000000" w:themeColor="text1"/>
          <w:sz w:val="31"/>
          <w:szCs w:val="31"/>
          <w:lang w:val="en-US" w:eastAsia="zh-CN"/>
          <w14:textFill>
            <w14:solidFill>
              <w14:schemeClr w14:val="tx1"/>
            </w14:solidFill>
          </w14:textFill>
        </w:rPr>
        <w:t>，并按照要求执行</w:t>
      </w:r>
      <w:r>
        <w:rPr>
          <w:rFonts w:hint="default" w:ascii="仿宋_GB2312" w:eastAsia="仿宋_GB2312" w:cs="仿宋_GB2312"/>
          <w:b w:val="0"/>
          <w:bCs/>
          <w:color w:val="000000" w:themeColor="text1"/>
          <w:sz w:val="31"/>
          <w:szCs w:val="31"/>
          <w:lang w:val="en-US" w:eastAsia="zh-CN"/>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（二）项目资金（包括财政资金、自筹资金等）安排落实、总投入等情况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预算情况如下：</w:t>
      </w:r>
    </w:p>
    <w:p>
      <w:pPr>
        <w:pStyle w:val="2"/>
        <w:keepNext w:val="0"/>
        <w:keepLines w:val="0"/>
        <w:widowControl/>
        <w:suppressLineNumbers w:val="0"/>
        <w:spacing w:line="525" w:lineRule="atLeast"/>
        <w:ind w:left="0" w:firstLine="645"/>
        <w:jc w:val="both"/>
        <w:rPr>
          <w:b w:val="0"/>
          <w:bCs/>
          <w:color w:val="000000" w:themeColor="text1"/>
          <w14:textFill>
            <w14:solidFill>
              <w14:schemeClr w14:val="tx1"/>
            </w14:solidFill>
          </w14:textFill>
        </w:rPr>
      </w:pPr>
      <w:r>
        <w:rPr>
          <w:rFonts w:hint="eastAsia" w:ascii="仿宋_GB2312" w:eastAsia="仿宋_GB2312" w:cs="仿宋_GB2312"/>
          <w:b w:val="0"/>
          <w:bCs/>
          <w:color w:val="000000" w:themeColor="text1"/>
          <w:sz w:val="31"/>
          <w:szCs w:val="31"/>
          <w14:textFill>
            <w14:solidFill>
              <w14:schemeClr w14:val="tx1"/>
            </w14:solidFill>
          </w14:textFill>
        </w:rPr>
        <w:t>预算情况如下：</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资金总额-年初预算数23295000</w:t>
      </w:r>
      <w:r>
        <w:rPr>
          <w:rFonts w:hint="eastAsia" w:ascii="仿宋_GB2312" w:eastAsia="仿宋_GB2312" w:cs="仿宋_GB2312"/>
          <w:b w:val="0"/>
          <w:bCs/>
          <w:color w:val="000000" w:themeColor="text1"/>
          <w:sz w:val="31"/>
          <w:szCs w:val="31"/>
          <w14:textFill>
            <w14:solidFill>
              <w14:schemeClr w14:val="tx1"/>
            </w14:solidFill>
          </w14:textFill>
        </w:rPr>
        <w:t>元，</w:t>
      </w:r>
      <w:r>
        <w:rPr>
          <w:rFonts w:hint="default" w:ascii="楷体_GB2312" w:eastAsia="楷体_GB2312" w:cs="楷体_GB2312"/>
          <w:b w:val="0"/>
          <w:bCs/>
          <w:color w:val="000000" w:themeColor="text1"/>
          <w:sz w:val="31"/>
          <w:szCs w:val="31"/>
          <w14:textFill>
            <w14:solidFill>
              <w14:schemeClr w14:val="tx1"/>
            </w14:solidFill>
          </w14:textFill>
        </w:rPr>
        <w:t>资金总额-全年预算数</w:t>
      </w:r>
      <w:r>
        <w:rPr>
          <w:b w:val="0"/>
          <w:bCs/>
          <w:color w:val="000000" w:themeColor="text1"/>
          <w14:textFill>
            <w14:solidFill>
              <w14:schemeClr w14:val="tx1"/>
            </w14:solidFill>
          </w14:textFill>
        </w:rPr>
        <w:t>23295000</w:t>
      </w:r>
      <w:r>
        <w:rPr>
          <w:rFonts w:hint="eastAsia" w:ascii="仿宋_GB2312" w:eastAsia="仿宋_GB2312" w:cs="仿宋_GB2312"/>
          <w:b w:val="0"/>
          <w:bCs/>
          <w:color w:val="000000" w:themeColor="text1"/>
          <w:sz w:val="31"/>
          <w:szCs w:val="31"/>
          <w14:textFill>
            <w14:solidFill>
              <w14:schemeClr w14:val="tx1"/>
            </w14:solidFill>
          </w14:textFill>
        </w:rPr>
        <w:t>元，</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财政资金-年初预算数</w:t>
      </w:r>
      <w:r>
        <w:rPr>
          <w:b w:val="0"/>
          <w:bCs/>
          <w:color w:val="000000" w:themeColor="text1"/>
          <w14:textFill>
            <w14:solidFill>
              <w14:schemeClr w14:val="tx1"/>
            </w14:solidFill>
          </w14:textFill>
        </w:rPr>
        <w:t>23295000</w:t>
      </w:r>
      <w:r>
        <w:rPr>
          <w:rFonts w:hint="default" w:ascii="楷体_GB2312" w:eastAsia="楷体_GB2312" w:cs="楷体_GB2312"/>
          <w:b w:val="0"/>
          <w:bCs/>
          <w:color w:val="000000" w:themeColor="text1"/>
          <w:sz w:val="31"/>
          <w:szCs w:val="31"/>
          <w14:textFill>
            <w14:solidFill>
              <w14:schemeClr w14:val="tx1"/>
            </w14:solidFill>
          </w14:textFill>
        </w:rPr>
        <w:t>元财政资金-全年预算数</w:t>
      </w:r>
      <w:r>
        <w:rPr>
          <w:b w:val="0"/>
          <w:bCs/>
          <w:color w:val="000000" w:themeColor="text1"/>
          <w14:textFill>
            <w14:solidFill>
              <w14:schemeClr w14:val="tx1"/>
            </w14:solidFill>
          </w14:textFill>
        </w:rPr>
        <w:t>23295000</w:t>
      </w:r>
      <w:r>
        <w:rPr>
          <w:rFonts w:hint="eastAsia" w:ascii="仿宋_GB2312" w:eastAsia="仿宋_GB2312" w:cs="仿宋_GB2312"/>
          <w:b w:val="0"/>
          <w:bCs/>
          <w:color w:val="000000" w:themeColor="text1"/>
          <w:sz w:val="31"/>
          <w:szCs w:val="31"/>
          <w14:textFill>
            <w14:solidFill>
              <w14:schemeClr w14:val="tx1"/>
            </w14:solidFill>
          </w14:textFill>
        </w:rPr>
        <w:t>元，</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专户-年初预算数0</w:t>
      </w:r>
      <w:r>
        <w:rPr>
          <w:rFonts w:hint="eastAsia" w:ascii="仿宋_GB2312" w:eastAsia="仿宋_GB2312" w:cs="仿宋_GB2312"/>
          <w:b w:val="0"/>
          <w:bCs/>
          <w:color w:val="000000" w:themeColor="text1"/>
          <w:sz w:val="31"/>
          <w:szCs w:val="31"/>
          <w14:textFill>
            <w14:solidFill>
              <w14:schemeClr w14:val="tx1"/>
            </w14:solidFill>
          </w14:textFill>
        </w:rPr>
        <w:t>元，</w:t>
      </w:r>
      <w:r>
        <w:rPr>
          <w:rFonts w:hint="default" w:ascii="楷体_GB2312" w:eastAsia="楷体_GB2312" w:cs="楷体_GB2312"/>
          <w:b w:val="0"/>
          <w:bCs/>
          <w:color w:val="000000" w:themeColor="text1"/>
          <w:sz w:val="31"/>
          <w:szCs w:val="31"/>
          <w14:textFill>
            <w14:solidFill>
              <w14:schemeClr w14:val="tx1"/>
            </w14:solidFill>
          </w14:textFill>
        </w:rPr>
        <w:t>专户全年预算数0元，</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单位年初预算数0元，单位全年预算数0</w:t>
      </w:r>
      <w:r>
        <w:rPr>
          <w:rFonts w:hint="eastAsia" w:ascii="仿宋_GB2312" w:eastAsia="仿宋_GB2312" w:cs="仿宋_GB2312"/>
          <w:b w:val="0"/>
          <w:bCs/>
          <w:color w:val="000000" w:themeColor="text1"/>
          <w:sz w:val="31"/>
          <w:szCs w:val="31"/>
          <w14:textFill>
            <w14:solidFill>
              <w14:schemeClr w14:val="tx1"/>
            </w14:solidFill>
          </w14:textFill>
        </w:rPr>
        <w:t>元。</w:t>
      </w:r>
    </w:p>
    <w:p>
      <w:pPr>
        <w:pStyle w:val="2"/>
        <w:keepNext w:val="0"/>
        <w:keepLines w:val="0"/>
        <w:widowControl/>
        <w:suppressLineNumbers w:val="0"/>
        <w:spacing w:line="525" w:lineRule="atLeast"/>
        <w:ind w:left="0" w:firstLine="645"/>
        <w:jc w:val="both"/>
        <w:rPr>
          <w:b w:val="0"/>
          <w:bCs/>
          <w:color w:val="000000" w:themeColor="text1"/>
          <w14:textFill>
            <w14:solidFill>
              <w14:schemeClr w14:val="tx1"/>
            </w14:solidFill>
          </w14:textFill>
        </w:rPr>
      </w:pPr>
      <w:r>
        <w:rPr>
          <w:rFonts w:hint="eastAsia" w:ascii="仿宋_GB2312" w:eastAsia="仿宋_GB2312" w:cs="仿宋_GB2312"/>
          <w:b w:val="0"/>
          <w:bCs/>
          <w:color w:val="000000" w:themeColor="text1"/>
          <w:sz w:val="31"/>
          <w:szCs w:val="31"/>
          <w14:textFill>
            <w14:solidFill>
              <w14:schemeClr w14:val="tx1"/>
            </w14:solidFill>
          </w14:textFill>
        </w:rPr>
        <w:t>（三）项目资金（主要是指财政资金）实际使用情况</w:t>
      </w:r>
    </w:p>
    <w:p>
      <w:pPr>
        <w:pStyle w:val="2"/>
        <w:keepNext w:val="0"/>
        <w:keepLines w:val="0"/>
        <w:widowControl/>
        <w:suppressLineNumbers w:val="0"/>
        <w:spacing w:line="525" w:lineRule="atLeast"/>
        <w:ind w:left="0" w:firstLine="645"/>
        <w:jc w:val="both"/>
        <w:rPr>
          <w:b w:val="0"/>
          <w:bCs/>
          <w:color w:val="000000" w:themeColor="text1"/>
          <w14:textFill>
            <w14:solidFill>
              <w14:schemeClr w14:val="tx1"/>
            </w14:solidFill>
          </w14:textFill>
        </w:rPr>
      </w:pPr>
      <w:r>
        <w:rPr>
          <w:rFonts w:hint="eastAsia" w:ascii="仿宋_GB2312" w:eastAsia="仿宋_GB2312" w:cs="仿宋_GB2312"/>
          <w:b w:val="0"/>
          <w:bCs/>
          <w:color w:val="000000" w:themeColor="text1"/>
          <w:sz w:val="31"/>
          <w:szCs w:val="31"/>
          <w14:textFill>
            <w14:solidFill>
              <w14:schemeClr w14:val="tx1"/>
            </w14:solidFill>
          </w14:textFill>
        </w:rPr>
        <w:t>资金执行情况如下：</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资金总额-全年执行数20118096.04元，资金总额-执行率</w:t>
      </w:r>
      <w:r>
        <w:rPr>
          <w:b w:val="0"/>
          <w:bCs/>
          <w:color w:val="000000" w:themeColor="text1"/>
          <w14:textFill>
            <w14:solidFill>
              <w14:schemeClr w14:val="tx1"/>
            </w14:solidFill>
          </w14:textFill>
        </w:rPr>
        <w:t>86.36%</w:t>
      </w:r>
      <w:r>
        <w:rPr>
          <w:rFonts w:hint="default" w:ascii="楷体_GB2312" w:eastAsia="楷体_GB2312" w:cs="楷体_GB2312"/>
          <w:b w:val="0"/>
          <w:bCs/>
          <w:color w:val="000000" w:themeColor="text1"/>
          <w:sz w:val="31"/>
          <w:szCs w:val="31"/>
          <w14:textFill>
            <w14:solidFill>
              <w14:schemeClr w14:val="tx1"/>
            </w14:solidFill>
          </w14:textFill>
        </w:rPr>
        <w:t>元</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其中：</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财政资金-全年执行数20118096.04元，财政资金-执行率</w:t>
      </w:r>
      <w:r>
        <w:rPr>
          <w:b w:val="0"/>
          <w:bCs/>
          <w:color w:val="000000" w:themeColor="text1"/>
          <w14:textFill>
            <w14:solidFill>
              <w14:schemeClr w14:val="tx1"/>
            </w14:solidFill>
          </w14:textFill>
        </w:rPr>
        <w:t>86.36%</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专户全年执行数0元，专户-执行率</w:t>
      </w:r>
      <w:r>
        <w:rPr>
          <w:b w:val="0"/>
          <w:bCs/>
          <w:color w:val="000000" w:themeColor="text1"/>
          <w14:textFill>
            <w14:solidFill>
              <w14:schemeClr w14:val="tx1"/>
            </w14:solidFill>
          </w14:textFill>
        </w:rPr>
        <w:t>0</w:t>
      </w:r>
    </w:p>
    <w:p>
      <w:pPr>
        <w:pStyle w:val="2"/>
        <w:keepNext w:val="0"/>
        <w:keepLines w:val="0"/>
        <w:widowControl/>
        <w:suppressLineNumbers w:val="0"/>
        <w:spacing w:line="525" w:lineRule="atLeast"/>
        <w:ind w:left="0" w:firstLine="165"/>
        <w:jc w:val="both"/>
        <w:rPr>
          <w:b w:val="0"/>
          <w:bCs/>
          <w:color w:val="000000" w:themeColor="text1"/>
          <w14:textFill>
            <w14:solidFill>
              <w14:schemeClr w14:val="tx1"/>
            </w14:solidFill>
          </w14:textFill>
        </w:rPr>
      </w:pPr>
      <w:r>
        <w:rPr>
          <w:rFonts w:hint="default" w:ascii="楷体_GB2312" w:eastAsia="楷体_GB2312" w:cs="楷体_GB2312"/>
          <w:b w:val="0"/>
          <w:bCs/>
          <w:color w:val="000000" w:themeColor="text1"/>
          <w:sz w:val="31"/>
          <w:szCs w:val="31"/>
          <w14:textFill>
            <w14:solidFill>
              <w14:schemeClr w14:val="tx1"/>
            </w14:solidFill>
          </w14:textFill>
        </w:rPr>
        <w:t>单位全年执行数0元，单位全年执行率</w:t>
      </w:r>
      <w:r>
        <w:rPr>
          <w:b w:val="0"/>
          <w:bCs/>
          <w:color w:val="000000" w:themeColor="text1"/>
          <w14:textFill>
            <w14:solidFill>
              <w14:schemeClr w14:val="tx1"/>
            </w14:solidFill>
          </w14:textFill>
        </w:rPr>
        <w:t>0.00%</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项目资金管理情况（包括管理制度、办法的制订及执行情况）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学院严格执行海南省及学校资金管理办法，明确资金使用范围，科学制定预算，并提交专家审核。项目执行后，根据项目预算及实施使用经费，实时跟踪预算执行进度。资金使用严格按照规定进行审核支出，所有支出均附合法票据，无超范围、超标准列支现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eastAsia" w:ascii="黑体" w:hAnsi="宋体" w:eastAsia="黑体" w:cs="黑体"/>
          <w:b w:val="0"/>
          <w:bCs/>
          <w:color w:val="000000" w:themeColor="text1"/>
          <w:sz w:val="31"/>
          <w:szCs w:val="31"/>
          <w14:textFill>
            <w14:solidFill>
              <w14:schemeClr w14:val="tx1"/>
            </w14:solidFill>
          </w14:textFill>
        </w:rPr>
        <w:t>三、项目组织实施情况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（一）项目组织情况（包括项目招投标情况、调整情况、完成验收等）</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项目由海南省教育厅下达任务。学院根据要求组织编制项目申报书，对培训目标、时间安排、参训对象、学科分布、培训主题、课程内容、实施方式、经费预算、组织管理与保障措施等进行了系统阐述，经专家评审通过后确定培训方案。在项目执行过程中，学院严格按照规定和程序开展各项活动。项目实施期间未发生方案性重大调整，各项活动按预定时间有序推进。项目整体组织规范，顺利完成了全部培训任务。</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t>（二）</w:t>
      </w:r>
      <w:r>
        <w:rPr>
          <w:rFonts w:hint="default" w:ascii="仿宋_GB2312" w:eastAsia="仿宋_GB2312" w:cs="仿宋_GB2312"/>
          <w:b w:val="0"/>
          <w:bCs/>
          <w:color w:val="000000" w:themeColor="text1"/>
          <w:sz w:val="31"/>
          <w:szCs w:val="31"/>
          <w14:textFill>
            <w14:solidFill>
              <w14:schemeClr w14:val="tx1"/>
            </w14:solidFill>
          </w14:textFill>
        </w:rPr>
        <w:t>项目管理情况（包括项目管理制度建设、日常检查监督等情况）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建立了完善的项目管理机制，组建了专门的项目管理团队，明确项目负责人、课程方案总设计人、学科负责人、班主任及后勤保障人员等，并细化职责分工，做到责任到人、协同推进。项目执行期间，实行全过程动态监管，定期核查培训进度，通过课堂观察、学员座谈等多种方式，持续采集教学反馈，及时评估项目质量，确保问题能够及时发现并整改。各项管理措施落实到位，有效保障了培训工作的有序推进与质量提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eastAsia" w:ascii="黑体" w:hAnsi="宋体" w:eastAsia="黑体" w:cs="黑体"/>
          <w:b w:val="0"/>
          <w:bCs/>
          <w:color w:val="000000" w:themeColor="text1"/>
          <w:sz w:val="31"/>
          <w:szCs w:val="31"/>
          <w14:textFill>
            <w14:solidFill>
              <w14:schemeClr w14:val="tx1"/>
            </w14:solidFill>
          </w14:textFill>
        </w:rPr>
        <w:t>四、项目绩效情况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（一）项目绩效目标完成情况。将项目实际完成情况与申报的绩效目标对比，从项目的经济性、效率性、有效性和可持续性等方面对项目绩效进行量化、具体分析。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620" w:firstLineChars="200"/>
        <w:jc w:val="both"/>
        <w:textAlignment w:val="auto"/>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1.海南省乡镇骨干教师培训</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本项目实际完成情况与申报的绩效目标基本一致，各项指标均达到预期。</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（1）经济性分析：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项目资金严格按照预算管理，主要用于劳务费、学员食宿交通费、保险费、印刷费、办公费等必要支出。全年实际执行金额为1106,867.95元，预算执行率达99.99%，实现了资金的高效配置与成本控制，节约了少量预算余额，未出现超支或浪费现象。资金使用做到量入为出、厉行节约，体现了良好的经济性。</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（2）效率性分析：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项目严格按照培训方案与时间节点推进，各项授课及跟岗学习安排落实到位。培训按期完成率为100%，参训学员考核合格率同样达到100%。项目在规定的周期内高质量完成全部实施内容，无延期、无调整，实施进度与质量均达到预期目标，表现出较高的效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（3）有效性分析：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通过培训观察、座谈等方式，项目在提升参训教师教育理念、课堂设计能力、信息化教学应用等方面成效显著。培训整体满意度达90%以上，学员普遍认为课程内容实用、专家指导到位、教学能力明显提升。项目资金使用效果突出，有效实现了提升乡镇骨干教师专业素养的核心目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（4）可持续性分析：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项目注重长效机制的构建，形成了“培训—实践—辐射”的闭环模式。通过培养一批乡镇骨干教师，推动其在各自学校开展校本研修、示范课、带教等活动，持续扩大培训成果的辐射范围。后续将通过跟踪指导、在线研修、校际交流等措施，保持与参训教师的长期联系，确保培训成果不断内化与延伸，为乡镇教育的持续发展提供稳定的人才支撑和内生动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2.2025年海南省“乡村强师”专项培养计划</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1</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经济性分析：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项目资金用于劳务费、食宿交通费、学员保险费、印刷费、办公费等，全年执行数3871402.48元，执行率78%。</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2</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效率性分析：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项目按照培训方案和进度要求执行，做好授课和跟岗安排。培训按期完成率100%，课程满意度100%。</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3</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有效性分析：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通过培训观察、问卷调研等方式，提升参训教师在教育理念、课堂设计、信息化应用等能力，培训满意度≥90%。</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4</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可持续性分析：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default" w:ascii="仿宋_GB2312" w:eastAsia="仿宋_GB2312" w:cs="仿宋_GB2312"/>
          <w:b w:val="0"/>
          <w:bCs/>
          <w:color w:val="000000" w:themeColor="text1"/>
          <w:sz w:val="31"/>
          <w:szCs w:val="31"/>
          <w:lang w:val="en-US" w:eastAsia="zh-CN"/>
          <w14:textFill>
            <w14:solidFill>
              <w14:schemeClr w14:val="tx1"/>
            </w14:solidFill>
          </w14:textFill>
        </w:rPr>
        <w:t>通过培训，形成“培训</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实践</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r>
        <w:rPr>
          <w:rFonts w:hint="default" w:ascii="仿宋_GB2312" w:eastAsia="仿宋_GB2312" w:cs="仿宋_GB2312"/>
          <w:b w:val="0"/>
          <w:bCs/>
          <w:color w:val="000000" w:themeColor="text1"/>
          <w:sz w:val="31"/>
          <w:szCs w:val="31"/>
          <w:lang w:val="en-US" w:eastAsia="zh-CN"/>
          <w14:textFill>
            <w14:solidFill>
              <w14:schemeClr w14:val="tx1"/>
            </w14:solidFill>
          </w14:textFill>
        </w:rPr>
        <w:t>辐射”闭环，为乡镇教育持续发展提供内生动力</w:t>
      </w:r>
      <w:r>
        <w:rPr>
          <w:rFonts w:hint="eastAsia" w:ascii="仿宋_GB2312" w:eastAsia="仿宋_GB2312" w:cs="仿宋_GB2312"/>
          <w:b w:val="0"/>
          <w:bCs/>
          <w:color w:val="000000" w:themeColor="text1"/>
          <w:sz w:val="31"/>
          <w:szCs w:val="31"/>
          <w:lang w:val="en-US" w:eastAsia="zh-CN"/>
          <w14:textFill>
            <w14:solidFill>
              <w14:schemeClr w14:val="tx1"/>
            </w14:solidFill>
          </w14:textFill>
        </w:rPr>
        <w:t>。</w:t>
      </w:r>
    </w:p>
    <w:p>
      <w:pPr>
        <w:numPr>
          <w:ilvl w:val="0"/>
          <w:numId w:val="2"/>
        </w:numPr>
        <w:spacing w:line="560" w:lineRule="exact"/>
        <w:ind w:firstLine="640" w:firstLineChars="200"/>
        <w:jc w:val="both"/>
        <w:rPr>
          <w:rFonts w:hint="eastAsia" w:ascii="仿宋_GB2312" w:hAnsi="仿宋_GB2312" w:eastAsia="仿宋_GB2312" w:cs="仿宋_GB2312"/>
          <w:b w:val="0"/>
          <w:bCs/>
          <w:color w:val="000000" w:themeColor="text1"/>
          <w:kern w:val="0"/>
          <w:sz w:val="32"/>
          <w:szCs w:val="32"/>
          <w:lang w:bidi="ar"/>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bidi="ar"/>
          <w14:textFill>
            <w14:solidFill>
              <w14:schemeClr w14:val="tx1"/>
            </w14:solidFill>
          </w14:textFill>
        </w:rPr>
        <w:t>乡村小学教师定向培养计划</w:t>
      </w:r>
    </w:p>
    <w:p>
      <w:pPr>
        <w:numPr>
          <w:numId w:val="0"/>
        </w:numPr>
        <w:spacing w:line="560" w:lineRule="exact"/>
        <w:ind w:firstLine="640" w:firstLineChars="200"/>
        <w:jc w:val="both"/>
        <w:rPr>
          <w:rFonts w:hint="eastAsia" w:ascii="仿宋_GB2312" w:hAnsi="仿宋" w:eastAsia="仿宋_GB2312" w:cs="仿宋"/>
          <w:b w:val="0"/>
          <w:bCs/>
          <w:color w:val="000000" w:themeColor="text1"/>
          <w:sz w:val="32"/>
          <w:szCs w:val="32"/>
          <w14:textFill>
            <w14:solidFill>
              <w14:schemeClr w14:val="tx1"/>
            </w14:solidFill>
          </w14:textFill>
        </w:rPr>
      </w:pPr>
      <w:r>
        <w:rPr>
          <w:rFonts w:hint="eastAsia" w:ascii="仿宋_GB2312" w:hAnsi="仿宋" w:eastAsia="仿宋_GB2312" w:cs="仿宋"/>
          <w:b w:val="0"/>
          <w:bCs/>
          <w:color w:val="000000" w:themeColor="text1"/>
          <w:sz w:val="32"/>
          <w:szCs w:val="32"/>
          <w14:textFill>
            <w14:solidFill>
              <w14:schemeClr w14:val="tx1"/>
            </w14:solidFill>
          </w14:textFill>
        </w:rPr>
        <w:t>项目学生报到率高，在校表现情况良好，对项目满意度高，预计未来对海南省基础教育有较大范围的贡献，可持续影响力强。项目学生报到率高，在校表现情况良好，对项目满意度高，预计未来对海南省基础教育有较大范围的贡献，可持续影响力强。</w:t>
      </w:r>
    </w:p>
    <w:p>
      <w:pPr>
        <w:pStyle w:val="6"/>
        <w:keepNext w:val="0"/>
        <w:keepLines w:val="0"/>
        <w:widowControl/>
        <w:suppressLineNumbers w:val="0"/>
        <w:spacing w:line="525" w:lineRule="atLeast"/>
        <w:ind w:left="0" w:leftChars="0" w:right="0" w:rightChars="0" w:firstLine="620" w:firstLineChars="200"/>
        <w:jc w:val="both"/>
        <w:rPr>
          <w:rFonts w:hint="eastAsia" w:ascii="仿宋_GB2312" w:hAnsi="宋体" w:eastAsia="仿宋_GB2312" w:cs="仿宋_GB2312"/>
          <w:b w:val="0"/>
          <w:bCs/>
          <w:color w:val="000000" w:themeColor="text1"/>
          <w:kern w:val="0"/>
          <w:sz w:val="31"/>
          <w:szCs w:val="31"/>
          <w14:textFill>
            <w14:solidFill>
              <w14:schemeClr w14:val="tx1"/>
            </w14:solidFill>
          </w14:textFill>
        </w:rPr>
      </w:pPr>
      <w:r>
        <w:rPr>
          <w:rFonts w:hint="eastAsia" w:cs="宋体"/>
          <w:b w:val="0"/>
          <w:bCs/>
          <w:color w:val="000000" w:themeColor="text1"/>
          <w:kern w:val="0"/>
          <w:sz w:val="31"/>
          <w:szCs w:val="31"/>
          <w:lang w:val="en-US" w:eastAsia="zh-CN"/>
          <w14:textFill>
            <w14:solidFill>
              <w14:schemeClr w14:val="tx1"/>
            </w14:solidFill>
          </w14:textFill>
        </w:rPr>
        <w:t>4.</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好校长、好教师</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培养工程项目：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培训前期开展详细的调研分析，精准把握培训需要；聘请省内外优秀的高校专家、一线优秀中小学校长及教师、优秀教研员担任授课教师，保证课堂培训效果；加强培训的考核，督促学员按要求完成培训作业；培训期间做好个性化服务，做好学员的食宿安排、交通安排及生活安排；训后组织专家开展跟踪指导，帮助学员内化学习知识和技能，提高教育教学水平。</w:t>
      </w:r>
    </w:p>
    <w:p>
      <w:pPr>
        <w:pStyle w:val="6"/>
        <w:keepNext w:val="0"/>
        <w:keepLines w:val="0"/>
        <w:widowControl/>
        <w:suppressLineNumbers w:val="0"/>
        <w:spacing w:line="525" w:lineRule="atLeast"/>
        <w:ind w:left="0" w:leftChars="0" w:right="0" w:rightChars="0" w:firstLine="620" w:firstLineChars="200"/>
        <w:jc w:val="both"/>
        <w:rPr>
          <w:rFonts w:hint="eastAsia" w:ascii="仿宋_GB2312" w:hAnsi="仿宋" w:eastAsia="仿宋_GB2312" w:cs="仿宋"/>
          <w:b w:val="0"/>
          <w:bCs/>
          <w:color w:val="000000" w:themeColor="text1"/>
          <w:sz w:val="32"/>
          <w:szCs w:val="32"/>
          <w14:textFill>
            <w14:solidFill>
              <w14:schemeClr w14:val="tx1"/>
            </w14:solidFill>
          </w14:textFill>
        </w:rPr>
      </w:pPr>
      <w:r>
        <w:rPr>
          <w:rFonts w:hint="eastAsia" w:cs="宋体"/>
          <w:b w:val="0"/>
          <w:bCs/>
          <w:color w:val="000000" w:themeColor="text1"/>
          <w:kern w:val="0"/>
          <w:sz w:val="31"/>
          <w:szCs w:val="31"/>
          <w:lang w:val="en-US" w:eastAsia="zh-CN"/>
          <w14:textFill>
            <w14:solidFill>
              <w14:schemeClr w14:val="tx1"/>
            </w14:solidFill>
          </w14:textFill>
        </w:rPr>
        <w:t>5.</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人才工程项目：</w:t>
      </w:r>
      <w:r>
        <w:rPr>
          <w:rFonts w:hint="eastAsia" w:ascii="仿宋_GB2312" w:hAnsi="宋体" w:eastAsia="仿宋_GB2312" w:cs="仿宋_GB2312"/>
          <w:b w:val="0"/>
          <w:bCs/>
          <w:color w:val="000000" w:themeColor="text1"/>
          <w:kern w:val="0"/>
          <w:sz w:val="31"/>
          <w:szCs w:val="31"/>
          <w14:textFill>
            <w14:solidFill>
              <w14:schemeClr w14:val="tx1"/>
            </w14:solidFill>
          </w14:textFill>
        </w:rPr>
        <w:t>项目通过全流程精细化管理实现高质量落地，获得参训学员与用人单位高度评价。项目启动前深入基层开展需求调研，精准匹配各市县教育薄弱环节，定制</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理论+实践+反思</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三维课程体系；实施过程中严把师资质量关，汇聚省内外高校专家、一线名校长及教研员组成百人导师团，通过</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双导师制</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确保教学实效，同时强化过程考核；后勤保障方面，项目组提供自助及圆桌餐食、步行可达的经济型酒店住宿及定点班车接送服务，并设立项目管理人员、学科班主任、学科助理全天候响应学员需求；训后组织专家开展跟踪指导，帮助学员内化学习知识和技能，提高教育教学水平。</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default" w:ascii="仿宋_GB2312" w:eastAsia="仿宋_GB2312" w:cs="仿宋_GB2312"/>
          <w:b w:val="0"/>
          <w:bCs/>
          <w:color w:val="000000" w:themeColor="text1"/>
          <w:sz w:val="31"/>
          <w:szCs w:val="31"/>
          <w:lang w:val="en-US" w:eastAsia="zh-CN"/>
          <w14:textFill>
            <w14:solidFill>
              <w14:schemeClr w14:val="tx1"/>
            </w14:solidFill>
          </w14:textFill>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t>（</w:t>
      </w:r>
      <w:r>
        <w:rPr>
          <w:rFonts w:hint="eastAsia" w:ascii="仿宋_GB2312" w:eastAsia="仿宋_GB2312" w:cs="仿宋_GB2312"/>
          <w:b w:val="0"/>
          <w:bCs/>
          <w:color w:val="000000" w:themeColor="text1"/>
          <w:kern w:val="0"/>
          <w:sz w:val="31"/>
          <w:szCs w:val="31"/>
          <w:lang w:val="en-US" w:eastAsia="zh-CN" w:bidi="ar"/>
          <w14:textFill>
            <w14:solidFill>
              <w14:schemeClr w14:val="tx1"/>
            </w14:solidFill>
          </w14:textFill>
        </w:rPr>
        <w:t>二</w:t>
      </w:r>
      <w:r>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t>）</w:t>
      </w:r>
      <w:r>
        <w:rPr>
          <w:rFonts w:hint="default" w:ascii="仿宋_GB2312" w:eastAsia="仿宋_GB2312" w:cs="仿宋_GB2312"/>
          <w:b w:val="0"/>
          <w:bCs/>
          <w:color w:val="000000" w:themeColor="text1"/>
          <w:sz w:val="31"/>
          <w:szCs w:val="31"/>
          <w14:textFill>
            <w14:solidFill>
              <w14:schemeClr w14:val="tx1"/>
            </w14:solidFill>
          </w14:textFill>
        </w:rPr>
        <w:t>项目绩效目标未完成情况及原因分析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1.2025年海南省“乡村强师”专项培养计划</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主要是资金未用完。本次下达项目资金用于三年周期培训工作。2025年主要培训任务为23、24届学员的驻校指导，25届学员省外跟岗培训1个月，省内跟岗5个月，剩余省内跟岗5个月在2026年上半年实施，各项活动均按照年度计划开展。</w:t>
      </w:r>
    </w:p>
    <w:p>
      <w:pPr>
        <w:keepNext w:val="0"/>
        <w:keepLines w:val="0"/>
        <w:widowControl/>
        <w:suppressLineNumbers w:val="0"/>
        <w:autoSpaceDE w:val="0"/>
        <w:autoSpaceDN/>
        <w:spacing w:before="0" w:beforeAutospacing="0" w:after="0" w:afterAutospacing="0" w:line="530" w:lineRule="atLeast"/>
        <w:ind w:left="0" w:right="0" w:firstLine="561"/>
        <w:jc w:val="both"/>
        <w:rPr>
          <w:rFonts w:hint="eastAsia" w:ascii="仿宋_GB2312" w:hAnsi="宋体" w:eastAsia="仿宋_GB2312" w:cs="仿宋_GB2312"/>
          <w:b w:val="0"/>
          <w:bCs/>
          <w:color w:val="000000" w:themeColor="text1"/>
          <w:kern w:val="0"/>
          <w:sz w:val="31"/>
          <w:szCs w:val="31"/>
          <w14:textFill>
            <w14:solidFill>
              <w14:schemeClr w14:val="tx1"/>
            </w14:solidFill>
          </w14:textFill>
        </w:rPr>
      </w:pPr>
      <w:r>
        <w:rPr>
          <w:rFonts w:hint="eastAsia" w:ascii="仿宋_GB2312" w:hAnsi="宋体" w:eastAsia="仿宋_GB2312" w:cs="仿宋_GB2312"/>
          <w:b w:val="0"/>
          <w:bCs/>
          <w:color w:val="000000" w:themeColor="text1"/>
          <w:kern w:val="0"/>
          <w:sz w:val="31"/>
          <w:szCs w:val="31"/>
          <w:lang w:val="en-US" w:eastAsia="zh-CN"/>
          <w14:textFill>
            <w14:solidFill>
              <w14:schemeClr w14:val="tx1"/>
            </w14:solidFill>
          </w14:textFill>
        </w:rPr>
        <w:t>2.</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双五百</w:t>
      </w:r>
      <w:r>
        <w:rPr>
          <w:rFonts w:hint="eastAsia" w:ascii="宋体" w:hAnsi="宋体" w:eastAsia="宋体" w:cs="宋体"/>
          <w:b w:val="0"/>
          <w:bCs/>
          <w:color w:val="000000" w:themeColor="text1"/>
          <w:kern w:val="0"/>
          <w:sz w:val="31"/>
          <w:szCs w:val="31"/>
          <w14:textFill>
            <w14:solidFill>
              <w14:schemeClr w14:val="tx1"/>
            </w14:solidFill>
          </w14:textFill>
        </w:rPr>
        <w:t>”</w:t>
      </w:r>
      <w:r>
        <w:rPr>
          <w:rFonts w:hint="eastAsia" w:ascii="仿宋_GB2312" w:hAnsi="宋体" w:eastAsia="仿宋_GB2312" w:cs="仿宋_GB2312"/>
          <w:b w:val="0"/>
          <w:bCs/>
          <w:color w:val="000000" w:themeColor="text1"/>
          <w:kern w:val="0"/>
          <w:sz w:val="31"/>
          <w:szCs w:val="31"/>
          <w14:textFill>
            <w14:solidFill>
              <w14:schemeClr w14:val="tx1"/>
            </w14:solidFill>
          </w14:textFill>
        </w:rPr>
        <w:t>人才工程项目受所在学校、市县以及实习生顶岗实习条件约束，实际参训教师人数与项目分配名额存在偏差，后续将持续关注并优化人员调配机制，确保项目实施更加精准高效。</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eastAsia" w:ascii="黑体" w:hAnsi="宋体" w:eastAsia="黑体" w:cs="黑体"/>
          <w:b w:val="0"/>
          <w:bCs/>
          <w:color w:val="000000" w:themeColor="text1"/>
          <w:sz w:val="31"/>
          <w:szCs w:val="31"/>
          <w14:textFill>
            <w14:solidFill>
              <w14:schemeClr w14:val="tx1"/>
            </w14:solidFill>
          </w14:textFill>
        </w:rPr>
        <w:t>五、其他需要说明的问题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rFonts w:hint="default" w:ascii="仿宋_GB2312" w:eastAsia="仿宋_GB2312" w:cs="仿宋_GB2312"/>
          <w:b w:val="0"/>
          <w:bCs/>
          <w:color w:val="000000" w:themeColor="text1"/>
          <w:sz w:val="31"/>
          <w:szCs w:val="3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（一）后续工作计划</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620" w:firstLineChars="200"/>
        <w:jc w:val="both"/>
        <w:textAlignment w:val="auto"/>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1.海南省乡镇骨干教师培训</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一方面，持续深化培训体系建设，建立健全培训效果动态跟踪与反馈机制，丰富线上线下融合的培训方式，积极拓展省内外优质培训资源，不断提升培训的针对性与实效性。另一方面，强化培训成果的转化与辐射带动作用，鼓励参训骨干教师在校本研修、区域教研中开展二级培训、师徒结对和示范课展示，形成“培训一人、带动一校、辐射一片”的良好格局。此外，搭建跨校资源共享平台，推动优秀教学设计、案例及评价工具的共建共享，并定期组织跨区域跟岗学习与回访指导，确保培训成果持续落地，为海南乡镇基础教育高质量发展提供长久内生动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640" w:firstLineChars="200"/>
        <w:jc w:val="both"/>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pPr>
      <w:r>
        <w:rPr>
          <w:rFonts w:hint="eastAsia" w:cs="仿宋"/>
          <w:b w:val="0"/>
          <w:bCs/>
          <w:i w:val="0"/>
          <w:iCs w:val="0"/>
          <w:caps w:val="0"/>
          <w:color w:val="000000" w:themeColor="text1"/>
          <w:spacing w:val="0"/>
          <w:kern w:val="0"/>
          <w:sz w:val="32"/>
          <w:szCs w:val="32"/>
          <w:lang w:val="en-US" w:eastAsia="zh-CN" w:bidi="ar"/>
          <w14:textFill>
            <w14:solidFill>
              <w14:schemeClr w14:val="tx1"/>
            </w14:solidFill>
          </w14:textFill>
        </w:rPr>
        <w:t>2.2025年海南省“乡村强师”专项培养计划</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深化培训体系建设，继续做好培训项目，建立培训效果跟踪机制，丰富培训方式，拓宽培训资源，增强培训效果。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（二）主要经验及做法、存在问题和建议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620" w:firstLineChars="200"/>
        <w:jc w:val="both"/>
        <w:rPr>
          <w:b w:val="0"/>
          <w:bCs/>
          <w:color w:val="000000" w:themeColor="text1"/>
          <w14:textFill>
            <w14:solidFill>
              <w14:schemeClr w14:val="tx1"/>
            </w14:solidFill>
          </w14:textFill>
        </w:rPr>
      </w:pPr>
      <w:r>
        <w:rPr>
          <w:rFonts w:hint="default" w:ascii="仿宋_GB2312" w:eastAsia="仿宋_GB2312" w:cs="仿宋_GB2312"/>
          <w:b w:val="0"/>
          <w:bCs/>
          <w:color w:val="000000" w:themeColor="text1"/>
          <w:sz w:val="31"/>
          <w:szCs w:val="31"/>
          <w14:textFill>
            <w14:solidFill>
              <w14:schemeClr w14:val="tx1"/>
            </w14:solidFill>
          </w14:textFill>
        </w:rPr>
        <w:t>（包括资金安排、使用过程中的经验、做法、存在问题、改进措施和有关建议等）</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1.在培训上，建立多级管理团队，明确分工、责任到人，形成高效协同的运行机制，确保培训各环节无缝衔接；采用“集中面授+跟岗实践+线上研修+返岗指导”相结合的混合模式，突破时空限制，延长培训链条，促进学用转化。</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2.在资金使用上，实行专项核算、专款专用，严格按照预算支出劳务费、食宿交通、保险、印刷、办公等费用。每笔支出均有合法票据和完整审批手续，无超范围、超标准现象。同时，通过动态跟踪预算执行进度，及时调整支出节奏，确保了资金精准投放与高效利用，充分体现了节约高效、应支尽支的管理成效。</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（2）存在问题：</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在课程信息化应用及省外优质专家资源引进方面，受限于资金，投入比例仍偏低，影响了培训资源的进一步拓展。</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（3）改进建议：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620" w:firstLineChars="200"/>
        <w:jc w:val="both"/>
        <w:rPr>
          <w:rFonts w:hint="eastAsia" w:ascii="仿宋_GB2312" w:eastAsia="仿宋_GB2312" w:cs="仿宋_GB2312"/>
          <w:b w:val="0"/>
          <w:bCs/>
          <w:color w:val="000000" w:themeColor="text1"/>
          <w:sz w:val="31"/>
          <w:szCs w:val="31"/>
          <w:lang w:val="en-US" w:eastAsia="zh-CN"/>
          <w14:textFill>
            <w14:solidFill>
              <w14:schemeClr w14:val="tx1"/>
            </w14:solidFill>
          </w14:textFill>
        </w:rPr>
      </w:pPr>
      <w:r>
        <w:rPr>
          <w:rFonts w:hint="eastAsia" w:ascii="仿宋_GB2312" w:eastAsia="仿宋_GB2312" w:cs="仿宋_GB2312"/>
          <w:b w:val="0"/>
          <w:bCs/>
          <w:color w:val="000000" w:themeColor="text1"/>
          <w:sz w:val="31"/>
          <w:szCs w:val="31"/>
          <w:lang w:val="en-US" w:eastAsia="zh-CN"/>
          <w14:textFill>
            <w14:solidFill>
              <w14:schemeClr w14:val="tx1"/>
            </w14:solidFill>
          </w14:textFill>
        </w:rPr>
        <w:t>优化资金使用结构，适当压缩常规性支出，在课程信息化建设、智慧教学工具引入、省外高水平专家讲座及跟岗访学等方面加大投入比例。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620" w:firstLineChars="200"/>
        <w:jc w:val="both"/>
        <w:textAlignment w:val="auto"/>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pPr>
      <w:r>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t>（3）改进建议：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620" w:firstLineChars="200"/>
        <w:jc w:val="both"/>
        <w:textAlignment w:val="auto"/>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pPr>
      <w:r>
        <w:rPr>
          <w:rFonts w:hint="eastAsia" w:ascii="仿宋_GB2312" w:hAnsi="仿宋" w:eastAsia="仿宋_GB2312" w:cs="仿宋_GB2312"/>
          <w:b w:val="0"/>
          <w:bCs/>
          <w:color w:val="000000" w:themeColor="text1"/>
          <w:kern w:val="0"/>
          <w:sz w:val="31"/>
          <w:szCs w:val="31"/>
          <w:lang w:val="en-US" w:eastAsia="zh-CN" w:bidi="ar"/>
          <w14:textFill>
            <w14:solidFill>
              <w14:schemeClr w14:val="tx1"/>
            </w14:solidFill>
          </w14:textFill>
        </w:rPr>
        <w:t>优化资金使用结构，在课程信息化应用、邀请省外专家讲座等方面增加投入，进一步提高资金使用效率。</w:t>
      </w:r>
    </w:p>
    <w:p/>
    <w:sectPr>
      <w:pgSz w:w="11906" w:h="16839"/>
      <w:pgMar w:top="1440" w:right="1800" w:bottom="1440" w:left="1800" w:header="851" w:footer="992" w:gutter="0"/>
      <w:pgBorders w:offsetFrom="page">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7B696"/>
    <w:multiLevelType w:val="singleLevel"/>
    <w:tmpl w:val="D527B696"/>
    <w:lvl w:ilvl="0" w:tentative="0">
      <w:start w:val="3"/>
      <w:numFmt w:val="decimal"/>
      <w:lvlText w:val="%1."/>
      <w:lvlJc w:val="left"/>
      <w:pPr>
        <w:tabs>
          <w:tab w:val="left" w:pos="312"/>
        </w:tabs>
      </w:pPr>
    </w:lvl>
  </w:abstractNum>
  <w:abstractNum w:abstractNumId="1">
    <w:nsid w:val="FDEA4842"/>
    <w:multiLevelType w:val="singleLevel"/>
    <w:tmpl w:val="FDEA4842"/>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84417"/>
    <w:rsid w:val="06D462EA"/>
    <w:rsid w:val="1A5A1C08"/>
    <w:rsid w:val="2A847422"/>
    <w:rsid w:val="2CBD417B"/>
    <w:rsid w:val="394C09FD"/>
    <w:rsid w:val="4C0A2502"/>
    <w:rsid w:val="4EAF6A8D"/>
    <w:rsid w:val="5AFB6919"/>
    <w:rsid w:val="6124435B"/>
    <w:rsid w:val="63B46CDC"/>
    <w:rsid w:val="6A8526A7"/>
    <w:rsid w:val="705F5A4A"/>
    <w:rsid w:val="7A57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仿宋" w:hAnsi="仿宋" w:eastAsia="仿宋" w:cs="仿宋"/>
      <w:kern w:val="0"/>
      <w:sz w:val="24"/>
      <w:szCs w:val="24"/>
      <w:lang w:val="en-US" w:eastAsia="zh-CN" w:bidi="ar"/>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普通(网站)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2026-04-27T11:25:24Z</dcterms:created>
  <dc:creator>lenovo</dc:creator>
  <cp:lastModifiedBy>晓宇</cp:lastModifiedBy>
  <dcterms:modified xsi:type="dcterms:W3CDTF">2026-04-27T11:45:35Z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