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line="525" w:lineRule="atLeast"/>
        <w:ind w:left="0" w:firstLine="225"/>
        <w:jc w:val="center"/>
        <w:rPr>
          <w:rFonts w:hint="eastAsia" w:ascii="宋体" w:hAnsi="宋体" w:eastAsia="宋体" w:cs="宋体"/>
          <w:kern w:val="0"/>
          <w:sz w:val="24"/>
          <w:szCs w:val="24"/>
        </w:rPr>
      </w:pPr>
      <w:r>
        <w:rPr>
          <w:rStyle w:val="6"/>
          <w:rFonts w:hint="eastAsia" w:ascii="宋体" w:hAnsi="宋体" w:eastAsia="宋体" w:cs="宋体"/>
          <w:b/>
          <w:bCs w:val="0"/>
          <w:sz w:val="43"/>
          <w:szCs w:val="43"/>
        </w:rPr>
        <w:t>项目支出绩效自评报告</w:t>
      </w:r>
      <w:r>
        <w:rPr>
          <w:rStyle w:val="6"/>
          <w:rFonts w:hint="eastAsia" w:ascii="宋体" w:hAnsi="宋体" w:eastAsia="宋体" w:cs="宋体"/>
          <w:b/>
          <w:bCs w:val="0"/>
        </w:rPr>
        <w:t xml:space="preserve"> </w:t>
      </w:r>
    </w:p>
    <w:p>
      <w:pPr>
        <w:pStyle w:val="5"/>
        <w:keepNext w:val="0"/>
        <w:keepLines w:val="0"/>
        <w:widowControl/>
        <w:suppressLineNumbers w:val="0"/>
        <w:spacing w:line="525" w:lineRule="atLeast"/>
        <w:ind w:left="0" w:firstLine="165"/>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pStyle w:val="5"/>
        <w:keepNext w:val="0"/>
        <w:keepLines w:val="0"/>
        <w:widowControl/>
        <w:suppressLineNumbers w:val="0"/>
        <w:spacing w:line="525" w:lineRule="atLeast"/>
        <w:ind w:left="0" w:firstLine="555"/>
        <w:rPr>
          <w:rFonts w:hint="eastAsia" w:ascii="宋体" w:hAnsi="宋体" w:eastAsia="宋体" w:cs="宋体"/>
          <w:kern w:val="0"/>
          <w:sz w:val="24"/>
          <w:szCs w:val="24"/>
        </w:rPr>
      </w:pPr>
      <w:r>
        <w:rPr>
          <w:rFonts w:hint="eastAsia" w:ascii="仿宋_GB2312" w:hAnsi="宋体" w:eastAsia="仿宋_GB2312" w:cs="仿宋_GB2312"/>
          <w:kern w:val="0"/>
          <w:sz w:val="31"/>
          <w:szCs w:val="31"/>
        </w:rPr>
        <w:t xml:space="preserve"> </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黑体" w:hAnsi="宋体" w:eastAsia="黑体" w:cs="黑体"/>
          <w:kern w:val="0"/>
          <w:sz w:val="32"/>
          <w:szCs w:val="32"/>
        </w:rPr>
        <w:t xml:space="preserve">一、项目概况    </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 xml:space="preserve">（一）项目基本情况：立项情况、实施主体项目、资金及主要内容  </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预算单位 海南师范大学本级 的项目 教育合作与交流属于部门项目</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主管部门为省教育厅</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项目负责人为：康文韬</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联系电话：65888790</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项目概述如下：</w:t>
      </w:r>
      <w:r>
        <w:rPr>
          <w:rFonts w:hint="eastAsia" w:ascii="仿宋_GB2312" w:eastAsia="仿宋_GB2312" w:cs="仿宋_GB2312"/>
          <w:kern w:val="0"/>
          <w:sz w:val="32"/>
          <w:szCs w:val="32"/>
          <w:lang w:val="en-US" w:eastAsia="zh-CN"/>
        </w:rPr>
        <w:t>通过与国际化学校接轨，促成中美合作办学、中印合作办学、中俄合作办学和中意合作办学顺利进行，从而丰富我校教学资源和特色建设，支持我校高质量发展。</w:t>
      </w:r>
      <w:r>
        <w:rPr>
          <w:rFonts w:hint="eastAsia" w:ascii="仿宋_GB2312" w:hAnsi="宋体" w:eastAsia="仿宋_GB2312" w:cs="仿宋_GB2312"/>
          <w:kern w:val="0"/>
          <w:sz w:val="32"/>
          <w:szCs w:val="32"/>
        </w:rPr>
        <w:t xml:space="preserve"> </w:t>
      </w:r>
      <w:bookmarkStart w:id="0" w:name="_GoBack"/>
      <w:bookmarkEnd w:id="0"/>
      <w:r>
        <w:rPr>
          <w:rFonts w:hint="eastAsia" w:ascii="仿宋_GB2312" w:hAnsi="宋体" w:eastAsia="仿宋_GB2312" w:cs="仿宋_GB2312"/>
          <w:kern w:val="0"/>
          <w:sz w:val="32"/>
          <w:szCs w:val="32"/>
        </w:rPr>
        <w:t xml:space="preserve"> </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 xml:space="preserve">（二）项目年度预算绩效目标和绩效指标设定情况  </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（包括预期总目标及阶段性目标，衡量绩效目标实现程度的评价指标、标准等）</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总体目标：1、建设3个合作办学点 2、按时支付3项外方管理费 3、提高合作办学水平</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2025年年度目标是1、建设3个合作办学点 2、按时支付3项外方管理费 3、提高合作办学水平</w:t>
      </w:r>
    </w:p>
    <w:p>
      <w:pPr>
        <w:pStyle w:val="5"/>
        <w:keepNext w:val="0"/>
        <w:keepLines w:val="0"/>
        <w:widowControl/>
        <w:suppressLineNumbers w:val="0"/>
        <w:spacing w:line="525" w:lineRule="atLeast"/>
        <w:ind w:left="0" w:firstLine="645"/>
        <w:jc w:val="both"/>
        <w:rPr>
          <w:rFonts w:hint="default" w:ascii="宋体" w:hAnsi="宋体" w:eastAsia="仿宋_GB2312" w:cs="宋体"/>
          <w:kern w:val="0"/>
          <w:sz w:val="32"/>
          <w:szCs w:val="32"/>
          <w:lang w:val="en-US" w:eastAsia="zh-CN"/>
        </w:rPr>
      </w:pPr>
      <w:r>
        <w:rPr>
          <w:rFonts w:hint="eastAsia" w:ascii="仿宋_GB2312" w:hAnsi="宋体" w:eastAsia="仿宋_GB2312" w:cs="仿宋_GB2312"/>
          <w:kern w:val="0"/>
          <w:sz w:val="32"/>
          <w:szCs w:val="32"/>
        </w:rPr>
        <w:t>当年年度目标完成情况：</w:t>
      </w:r>
      <w:r>
        <w:rPr>
          <w:rFonts w:hint="eastAsia" w:ascii="仿宋_GB2312" w:eastAsia="仿宋_GB2312" w:cs="仿宋_GB2312"/>
          <w:kern w:val="0"/>
          <w:sz w:val="32"/>
          <w:szCs w:val="32"/>
          <w:lang w:val="en-US" w:eastAsia="zh-CN"/>
        </w:rPr>
        <w:t>已完成绩效目标。</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黑体" w:hAnsi="宋体" w:eastAsia="黑体" w:cs="黑体"/>
          <w:kern w:val="0"/>
          <w:sz w:val="32"/>
          <w:szCs w:val="32"/>
        </w:rPr>
        <w:t>二、项目决策及资金使用管理情况</w:t>
      </w:r>
    </w:p>
    <w:p>
      <w:pPr>
        <w:pStyle w:val="5"/>
        <w:keepNext w:val="0"/>
        <w:keepLines w:val="0"/>
        <w:widowControl/>
        <w:suppressLineNumbers w:val="0"/>
        <w:spacing w:line="525" w:lineRule="atLeast"/>
        <w:ind w:left="0" w:firstLine="645"/>
        <w:jc w:val="both"/>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（一）项目决策情况（包括决策过程和结果）</w:t>
      </w:r>
    </w:p>
    <w:p>
      <w:pPr>
        <w:pStyle w:val="5"/>
        <w:ind w:firstLine="640" w:firstLineChars="200"/>
        <w:jc w:val="both"/>
        <w:rPr>
          <w:rFonts w:hint="eastAsia" w:ascii="仿宋_GB2312" w:hAnsi="宋体" w:eastAsia="仿宋_GB2312" w:cs="仿宋_GB2312"/>
          <w:kern w:val="0"/>
          <w:sz w:val="32"/>
          <w:szCs w:val="32"/>
        </w:rPr>
      </w:pPr>
      <w:r>
        <w:rPr>
          <w:rFonts w:hint="default" w:ascii="仿宋_GB2312" w:eastAsia="仿宋_GB2312" w:cs="仿宋_GB2312"/>
          <w:color w:val="auto"/>
          <w:sz w:val="32"/>
          <w:szCs w:val="32"/>
        </w:rPr>
        <w:t>本项目在决策时考虑了</w:t>
      </w:r>
      <w:r>
        <w:rPr>
          <w:rFonts w:hint="eastAsia" w:ascii="仿宋_GB2312" w:eastAsia="仿宋_GB2312" w:cs="仿宋_GB2312"/>
          <w:color w:val="auto"/>
          <w:sz w:val="32"/>
          <w:szCs w:val="32"/>
          <w:lang w:val="en-US" w:eastAsia="zh-CN"/>
        </w:rPr>
        <w:t>国内外</w:t>
      </w:r>
      <w:r>
        <w:rPr>
          <w:rFonts w:hint="default" w:ascii="仿宋_GB2312" w:eastAsia="仿宋_GB2312" w:cs="仿宋_GB2312"/>
          <w:color w:val="auto"/>
          <w:sz w:val="32"/>
          <w:szCs w:val="32"/>
        </w:rPr>
        <w:t>双方高校的背景、办学定位和培养目标，主要考虑了双方的教育资源优势、专业对接度以及中国教育人才需求等因素。经过分析，双方确定了培养目标和要设置的课程。本项目结合了双方高校教育的课程优势和师资优势。</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（二）项目资金（包括财政资金、自筹资金等）安排落实、总投入等情况</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预算情况如下：</w:t>
      </w:r>
    </w:p>
    <w:p>
      <w:pPr>
        <w:pStyle w:val="5"/>
        <w:keepNext w:val="0"/>
        <w:keepLines w:val="0"/>
        <w:widowControl/>
        <w:suppressLineNumbers w:val="0"/>
        <w:spacing w:line="525" w:lineRule="atLeast"/>
        <w:ind w:left="0" w:firstLine="165"/>
        <w:jc w:val="both"/>
        <w:rPr>
          <w:rFonts w:hint="eastAsia" w:ascii="宋体" w:hAnsi="宋体" w:eastAsia="宋体" w:cs="宋体"/>
          <w:kern w:val="0"/>
          <w:sz w:val="32"/>
          <w:szCs w:val="32"/>
        </w:rPr>
      </w:pPr>
      <w:r>
        <w:rPr>
          <w:rFonts w:hint="default" w:ascii="楷体_GB2312" w:hAnsi="宋体" w:eastAsia="楷体_GB2312" w:cs="楷体_GB2312"/>
          <w:kern w:val="0"/>
          <w:sz w:val="32"/>
          <w:szCs w:val="32"/>
        </w:rPr>
        <w:t>资金总额-年初预算数5500000</w:t>
      </w:r>
      <w:r>
        <w:rPr>
          <w:rFonts w:hint="eastAsia" w:ascii="仿宋_GB2312" w:hAnsi="宋体" w:eastAsia="仿宋_GB2312" w:cs="仿宋_GB2312"/>
          <w:kern w:val="0"/>
          <w:sz w:val="32"/>
          <w:szCs w:val="32"/>
        </w:rPr>
        <w:t>元，</w:t>
      </w:r>
      <w:r>
        <w:rPr>
          <w:rFonts w:hint="default" w:ascii="楷体_GB2312" w:hAnsi="宋体" w:eastAsia="楷体_GB2312" w:cs="楷体_GB2312"/>
          <w:kern w:val="0"/>
          <w:sz w:val="32"/>
          <w:szCs w:val="32"/>
        </w:rPr>
        <w:t>资金总额-全年预算数5500000</w:t>
      </w:r>
      <w:r>
        <w:rPr>
          <w:rFonts w:hint="eastAsia" w:ascii="仿宋_GB2312" w:hAnsi="宋体" w:eastAsia="仿宋_GB2312" w:cs="仿宋_GB2312"/>
          <w:kern w:val="0"/>
          <w:sz w:val="32"/>
          <w:szCs w:val="32"/>
        </w:rPr>
        <w:t>元，</w:t>
      </w:r>
    </w:p>
    <w:p>
      <w:pPr>
        <w:pStyle w:val="5"/>
        <w:keepNext w:val="0"/>
        <w:keepLines w:val="0"/>
        <w:widowControl/>
        <w:suppressLineNumbers w:val="0"/>
        <w:spacing w:line="525" w:lineRule="atLeast"/>
        <w:ind w:left="0" w:firstLine="165"/>
        <w:jc w:val="both"/>
        <w:rPr>
          <w:rFonts w:hint="eastAsia" w:ascii="宋体" w:hAnsi="宋体" w:eastAsia="宋体" w:cs="宋体"/>
          <w:kern w:val="0"/>
          <w:sz w:val="32"/>
          <w:szCs w:val="32"/>
        </w:rPr>
      </w:pPr>
      <w:r>
        <w:rPr>
          <w:rFonts w:hint="default" w:ascii="楷体_GB2312" w:hAnsi="宋体" w:eastAsia="楷体_GB2312" w:cs="楷体_GB2312"/>
          <w:kern w:val="0"/>
          <w:sz w:val="32"/>
          <w:szCs w:val="32"/>
        </w:rPr>
        <w:t>财政资金-年初预算数</w:t>
      </w:r>
      <w:r>
        <w:rPr>
          <w:rFonts w:hint="eastAsia" w:ascii="宋体" w:hAnsi="宋体" w:eastAsia="宋体" w:cs="宋体"/>
          <w:kern w:val="0"/>
          <w:sz w:val="32"/>
          <w:szCs w:val="32"/>
        </w:rPr>
        <w:t>0</w:t>
      </w:r>
      <w:r>
        <w:rPr>
          <w:rFonts w:hint="default" w:ascii="楷体_GB2312" w:hAnsi="宋体" w:eastAsia="楷体_GB2312" w:cs="楷体_GB2312"/>
          <w:kern w:val="0"/>
          <w:sz w:val="32"/>
          <w:szCs w:val="32"/>
        </w:rPr>
        <w:t>元财政资金-全年预算数</w:t>
      </w:r>
      <w:r>
        <w:rPr>
          <w:rFonts w:hint="eastAsia" w:ascii="宋体" w:hAnsi="宋体" w:eastAsia="宋体" w:cs="宋体"/>
          <w:kern w:val="0"/>
          <w:sz w:val="32"/>
          <w:szCs w:val="32"/>
        </w:rPr>
        <w:t>0</w:t>
      </w:r>
      <w:r>
        <w:rPr>
          <w:rFonts w:hint="eastAsia" w:ascii="仿宋_GB2312" w:hAnsi="宋体" w:eastAsia="仿宋_GB2312" w:cs="仿宋_GB2312"/>
          <w:kern w:val="0"/>
          <w:sz w:val="32"/>
          <w:szCs w:val="32"/>
        </w:rPr>
        <w:t>元，</w:t>
      </w:r>
    </w:p>
    <w:p>
      <w:pPr>
        <w:pStyle w:val="5"/>
        <w:keepNext w:val="0"/>
        <w:keepLines w:val="0"/>
        <w:widowControl/>
        <w:suppressLineNumbers w:val="0"/>
        <w:spacing w:line="525" w:lineRule="atLeast"/>
        <w:ind w:left="0" w:firstLine="165"/>
        <w:jc w:val="both"/>
        <w:rPr>
          <w:rFonts w:hint="eastAsia" w:ascii="宋体" w:hAnsi="宋体" w:eastAsia="宋体" w:cs="宋体"/>
          <w:kern w:val="0"/>
          <w:sz w:val="32"/>
          <w:szCs w:val="32"/>
        </w:rPr>
      </w:pPr>
      <w:r>
        <w:rPr>
          <w:rFonts w:hint="default" w:ascii="楷体_GB2312" w:hAnsi="宋体" w:eastAsia="楷体_GB2312" w:cs="楷体_GB2312"/>
          <w:kern w:val="0"/>
          <w:sz w:val="32"/>
          <w:szCs w:val="32"/>
        </w:rPr>
        <w:t>专户-年初预算数5500000</w:t>
      </w:r>
      <w:r>
        <w:rPr>
          <w:rFonts w:hint="eastAsia" w:ascii="仿宋_GB2312" w:hAnsi="宋体" w:eastAsia="仿宋_GB2312" w:cs="仿宋_GB2312"/>
          <w:kern w:val="0"/>
          <w:sz w:val="32"/>
          <w:szCs w:val="32"/>
        </w:rPr>
        <w:t>元，</w:t>
      </w:r>
      <w:r>
        <w:rPr>
          <w:rFonts w:hint="default" w:ascii="楷体_GB2312" w:hAnsi="宋体" w:eastAsia="楷体_GB2312" w:cs="楷体_GB2312"/>
          <w:kern w:val="0"/>
          <w:sz w:val="32"/>
          <w:szCs w:val="32"/>
        </w:rPr>
        <w:t>专户全年预算数5500000元，</w:t>
      </w:r>
    </w:p>
    <w:p>
      <w:pPr>
        <w:pStyle w:val="5"/>
        <w:keepNext w:val="0"/>
        <w:keepLines w:val="0"/>
        <w:widowControl/>
        <w:suppressLineNumbers w:val="0"/>
        <w:spacing w:line="525" w:lineRule="atLeast"/>
        <w:ind w:left="0" w:firstLine="165"/>
        <w:jc w:val="both"/>
        <w:rPr>
          <w:rFonts w:hint="eastAsia" w:ascii="宋体" w:hAnsi="宋体" w:eastAsia="宋体" w:cs="宋体"/>
          <w:kern w:val="0"/>
          <w:sz w:val="32"/>
          <w:szCs w:val="32"/>
        </w:rPr>
      </w:pPr>
      <w:r>
        <w:rPr>
          <w:rFonts w:hint="default" w:ascii="楷体_GB2312" w:hAnsi="宋体" w:eastAsia="楷体_GB2312" w:cs="楷体_GB2312"/>
          <w:kern w:val="0"/>
          <w:sz w:val="32"/>
          <w:szCs w:val="32"/>
        </w:rPr>
        <w:t>单位年初预算数0元，单位全年预算数0</w:t>
      </w:r>
      <w:r>
        <w:rPr>
          <w:rFonts w:hint="eastAsia" w:ascii="仿宋_GB2312" w:hAnsi="宋体" w:eastAsia="仿宋_GB2312" w:cs="仿宋_GB2312"/>
          <w:kern w:val="0"/>
          <w:sz w:val="32"/>
          <w:szCs w:val="32"/>
        </w:rPr>
        <w:t>元。</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（三）项目资金（主要是指财政资金）实际使用情况</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资金执行情况如下：</w:t>
      </w:r>
    </w:p>
    <w:p>
      <w:pPr>
        <w:pStyle w:val="5"/>
        <w:keepNext w:val="0"/>
        <w:keepLines w:val="0"/>
        <w:widowControl/>
        <w:suppressLineNumbers w:val="0"/>
        <w:spacing w:line="525" w:lineRule="atLeast"/>
        <w:ind w:left="0" w:firstLine="165"/>
        <w:jc w:val="both"/>
        <w:rPr>
          <w:rFonts w:hint="eastAsia" w:ascii="宋体" w:hAnsi="宋体" w:eastAsia="宋体" w:cs="宋体"/>
          <w:kern w:val="0"/>
          <w:sz w:val="32"/>
          <w:szCs w:val="32"/>
        </w:rPr>
      </w:pPr>
      <w:r>
        <w:rPr>
          <w:rFonts w:hint="default" w:ascii="楷体_GB2312" w:hAnsi="宋体" w:eastAsia="楷体_GB2312" w:cs="楷体_GB2312"/>
          <w:kern w:val="0"/>
          <w:sz w:val="32"/>
          <w:szCs w:val="32"/>
        </w:rPr>
        <w:t>资金总额-全年执行数4669695元，资金总额-执行率</w:t>
      </w:r>
      <w:r>
        <w:rPr>
          <w:rFonts w:hint="eastAsia" w:ascii="宋体" w:hAnsi="宋体" w:eastAsia="宋体" w:cs="宋体"/>
          <w:kern w:val="0"/>
          <w:sz w:val="32"/>
          <w:szCs w:val="32"/>
        </w:rPr>
        <w:t>85%</w:t>
      </w:r>
    </w:p>
    <w:p>
      <w:pPr>
        <w:pStyle w:val="5"/>
        <w:keepNext w:val="0"/>
        <w:keepLines w:val="0"/>
        <w:widowControl/>
        <w:suppressLineNumbers w:val="0"/>
        <w:spacing w:line="525" w:lineRule="atLeast"/>
        <w:ind w:left="0" w:firstLine="165"/>
        <w:jc w:val="both"/>
        <w:rPr>
          <w:rFonts w:hint="eastAsia" w:ascii="宋体" w:hAnsi="宋体" w:eastAsia="宋体" w:cs="宋体"/>
          <w:kern w:val="0"/>
          <w:sz w:val="32"/>
          <w:szCs w:val="32"/>
        </w:rPr>
      </w:pPr>
      <w:r>
        <w:rPr>
          <w:rFonts w:hint="default" w:ascii="楷体_GB2312" w:hAnsi="宋体" w:eastAsia="楷体_GB2312" w:cs="楷体_GB2312"/>
          <w:kern w:val="0"/>
          <w:sz w:val="32"/>
          <w:szCs w:val="32"/>
        </w:rPr>
        <w:t>其中：</w:t>
      </w:r>
    </w:p>
    <w:p>
      <w:pPr>
        <w:pStyle w:val="5"/>
        <w:keepNext w:val="0"/>
        <w:keepLines w:val="0"/>
        <w:widowControl/>
        <w:suppressLineNumbers w:val="0"/>
        <w:spacing w:line="525" w:lineRule="atLeast"/>
        <w:ind w:left="0" w:firstLine="165"/>
        <w:jc w:val="both"/>
        <w:rPr>
          <w:rFonts w:hint="eastAsia" w:ascii="宋体" w:hAnsi="宋体" w:eastAsia="宋体" w:cs="宋体"/>
          <w:kern w:val="0"/>
          <w:sz w:val="32"/>
          <w:szCs w:val="32"/>
        </w:rPr>
      </w:pPr>
      <w:r>
        <w:rPr>
          <w:rFonts w:hint="default" w:ascii="楷体_GB2312" w:hAnsi="宋体" w:eastAsia="楷体_GB2312" w:cs="楷体_GB2312"/>
          <w:kern w:val="0"/>
          <w:sz w:val="32"/>
          <w:szCs w:val="32"/>
        </w:rPr>
        <w:t>财政资金-全年执行数0元，财政资金-执行率</w:t>
      </w:r>
      <w:r>
        <w:rPr>
          <w:rFonts w:hint="eastAsia" w:ascii="宋体" w:hAnsi="宋体" w:eastAsia="宋体" w:cs="宋体"/>
          <w:kern w:val="0"/>
          <w:sz w:val="32"/>
          <w:szCs w:val="32"/>
        </w:rPr>
        <w:t>0</w:t>
      </w:r>
    </w:p>
    <w:p>
      <w:pPr>
        <w:pStyle w:val="5"/>
        <w:keepNext w:val="0"/>
        <w:keepLines w:val="0"/>
        <w:widowControl/>
        <w:suppressLineNumbers w:val="0"/>
        <w:spacing w:line="525" w:lineRule="atLeast"/>
        <w:ind w:left="0" w:firstLine="165"/>
        <w:jc w:val="both"/>
        <w:rPr>
          <w:rFonts w:hint="eastAsia" w:ascii="宋体" w:hAnsi="宋体" w:eastAsia="宋体" w:cs="宋体"/>
          <w:kern w:val="0"/>
          <w:sz w:val="32"/>
          <w:szCs w:val="32"/>
        </w:rPr>
      </w:pPr>
      <w:r>
        <w:rPr>
          <w:rFonts w:hint="default" w:ascii="楷体_GB2312" w:hAnsi="宋体" w:eastAsia="楷体_GB2312" w:cs="楷体_GB2312"/>
          <w:kern w:val="0"/>
          <w:sz w:val="32"/>
          <w:szCs w:val="32"/>
        </w:rPr>
        <w:t>专户全年执行数4669695元，资金总额-执行率</w:t>
      </w:r>
      <w:r>
        <w:rPr>
          <w:rFonts w:hint="eastAsia" w:ascii="宋体" w:hAnsi="宋体" w:eastAsia="宋体" w:cs="宋体"/>
          <w:kern w:val="0"/>
          <w:sz w:val="32"/>
          <w:szCs w:val="32"/>
        </w:rPr>
        <w:t>85%</w:t>
      </w:r>
    </w:p>
    <w:p>
      <w:pPr>
        <w:pStyle w:val="5"/>
        <w:keepNext w:val="0"/>
        <w:keepLines w:val="0"/>
        <w:widowControl/>
        <w:suppressLineNumbers w:val="0"/>
        <w:spacing w:line="525" w:lineRule="atLeast"/>
        <w:ind w:left="0" w:firstLine="165"/>
        <w:jc w:val="both"/>
        <w:rPr>
          <w:rFonts w:hint="eastAsia" w:ascii="宋体" w:hAnsi="宋体" w:eastAsia="宋体" w:cs="宋体"/>
          <w:kern w:val="0"/>
          <w:sz w:val="32"/>
          <w:szCs w:val="32"/>
        </w:rPr>
      </w:pPr>
      <w:r>
        <w:rPr>
          <w:rFonts w:hint="default" w:ascii="楷体_GB2312" w:hAnsi="宋体" w:eastAsia="楷体_GB2312" w:cs="楷体_GB2312"/>
          <w:kern w:val="0"/>
          <w:sz w:val="32"/>
          <w:szCs w:val="32"/>
        </w:rPr>
        <w:t>单位全年执行数0元，单位全年执行率</w:t>
      </w:r>
      <w:r>
        <w:rPr>
          <w:rFonts w:hint="eastAsia" w:ascii="宋体" w:hAnsi="宋体" w:eastAsia="宋体" w:cs="宋体"/>
          <w:kern w:val="0"/>
          <w:sz w:val="32"/>
          <w:szCs w:val="32"/>
        </w:rPr>
        <w:t>0.00%</w:t>
      </w:r>
    </w:p>
    <w:p>
      <w:pPr>
        <w:pStyle w:val="5"/>
        <w:keepNext w:val="0"/>
        <w:keepLines w:val="0"/>
        <w:widowControl/>
        <w:numPr>
          <w:ilvl w:val="0"/>
          <w:numId w:val="1"/>
        </w:numPr>
        <w:suppressLineNumbers w:val="0"/>
        <w:spacing w:line="525" w:lineRule="atLeast"/>
        <w:ind w:left="0" w:firstLine="645"/>
        <w:jc w:val="both"/>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项目资金管理情况（包括管理制度、办法的制订及执行情况）</w:t>
      </w:r>
    </w:p>
    <w:p>
      <w:pPr>
        <w:pStyle w:val="5"/>
        <w:ind w:firstLine="640" w:firstLineChars="200"/>
        <w:jc w:val="both"/>
        <w:rPr>
          <w:rFonts w:hint="default" w:ascii="仿宋_GB2312" w:eastAsia="仿宋_GB2312" w:cs="仿宋_GB2312"/>
          <w:sz w:val="32"/>
          <w:szCs w:val="32"/>
        </w:rPr>
      </w:pPr>
      <w:r>
        <w:rPr>
          <w:rFonts w:hint="default" w:ascii="仿宋_GB2312" w:eastAsia="仿宋_GB2312" w:cs="仿宋_GB2312"/>
          <w:color w:val="auto"/>
          <w:sz w:val="32"/>
          <w:szCs w:val="32"/>
        </w:rPr>
        <w:t>资金管理上，本项目严格遵守学校财务管理制度及中外合作办学项目资金管理相关规</w:t>
      </w:r>
      <w:r>
        <w:rPr>
          <w:rFonts w:hint="default" w:ascii="仿宋_GB2312" w:eastAsia="仿宋_GB2312" w:cs="仿宋_GB2312"/>
          <w:sz w:val="32"/>
          <w:szCs w:val="32"/>
        </w:rPr>
        <w:t>定，所有资金支出均按规定流程履行审批手续，做到专款专用、专账核算，有效保障了项目的规范有序实施。</w:t>
      </w:r>
    </w:p>
    <w:p>
      <w:pPr>
        <w:pStyle w:val="5"/>
        <w:keepNext w:val="0"/>
        <w:keepLines w:val="0"/>
        <w:widowControl/>
        <w:numPr>
          <w:numId w:val="0"/>
        </w:numPr>
        <w:suppressLineNumbers w:val="0"/>
        <w:spacing w:line="525" w:lineRule="atLeast"/>
        <w:ind w:left="645" w:leftChars="0" w:right="0" w:rightChars="0"/>
        <w:jc w:val="both"/>
        <w:rPr>
          <w:rFonts w:hint="eastAsia" w:ascii="仿宋_GB2312" w:hAnsi="宋体" w:eastAsia="仿宋_GB2312" w:cs="仿宋_GB2312"/>
          <w:kern w:val="0"/>
          <w:sz w:val="32"/>
          <w:szCs w:val="32"/>
        </w:rPr>
      </w:pP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黑体" w:hAnsi="宋体" w:eastAsia="黑体" w:cs="黑体"/>
          <w:kern w:val="0"/>
          <w:sz w:val="32"/>
          <w:szCs w:val="32"/>
        </w:rPr>
        <w:t>三、项目组织实施情况</w:t>
      </w:r>
    </w:p>
    <w:p>
      <w:pPr>
        <w:pStyle w:val="5"/>
        <w:keepNext w:val="0"/>
        <w:keepLines w:val="0"/>
        <w:widowControl/>
        <w:suppressLineNumbers w:val="0"/>
        <w:spacing w:line="525" w:lineRule="atLeast"/>
        <w:ind w:left="0" w:firstLine="645"/>
        <w:jc w:val="both"/>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（一）项目组织情况（包括项目招投标情况、调整情况、完成验收等）</w:t>
      </w:r>
    </w:p>
    <w:p>
      <w:pPr>
        <w:pStyle w:val="5"/>
        <w:ind w:firstLine="640" w:firstLineChars="200"/>
        <w:jc w:val="both"/>
        <w:rPr>
          <w:rFonts w:hint="eastAsia" w:ascii="仿宋_GB2312" w:hAnsi="宋体" w:eastAsia="仿宋_GB2312" w:cs="仿宋_GB2312"/>
          <w:kern w:val="0"/>
          <w:sz w:val="32"/>
          <w:szCs w:val="32"/>
        </w:rPr>
      </w:pPr>
      <w:r>
        <w:rPr>
          <w:rFonts w:hint="default" w:ascii="仿宋_GB2312" w:eastAsia="仿宋_GB2312" w:cs="仿宋_GB2312"/>
          <w:color w:val="auto"/>
          <w:sz w:val="32"/>
          <w:szCs w:val="32"/>
        </w:rPr>
        <w:t>本项目在预算资金使用上严格遵循合法合规原则，按照批准的预算范围和支出标准执行，相关支出履行了必要的审批程序，确保资金使用透明、规范。</w:t>
      </w:r>
      <w:r>
        <w:rPr>
          <w:rFonts w:hint="eastAsia" w:ascii="仿宋_GB2312" w:eastAsia="仿宋_GB2312" w:cs="仿宋_GB2312"/>
          <w:color w:val="auto"/>
          <w:sz w:val="32"/>
          <w:szCs w:val="32"/>
          <w:lang w:val="en-US" w:eastAsia="zh-CN"/>
        </w:rPr>
        <w:t>本</w:t>
      </w:r>
      <w:r>
        <w:rPr>
          <w:rFonts w:hint="default" w:ascii="仿宋_GB2312" w:eastAsia="仿宋_GB2312" w:cs="仿宋_GB2312"/>
          <w:color w:val="auto"/>
          <w:sz w:val="32"/>
          <w:szCs w:val="32"/>
        </w:rPr>
        <w:t>项目按计划完成各项任务后，相关材料已整理归档。</w:t>
      </w:r>
    </w:p>
    <w:p>
      <w:pPr>
        <w:pStyle w:val="5"/>
        <w:keepNext w:val="0"/>
        <w:keepLines w:val="0"/>
        <w:widowControl/>
        <w:numPr>
          <w:ilvl w:val="0"/>
          <w:numId w:val="2"/>
        </w:numPr>
        <w:suppressLineNumbers w:val="0"/>
        <w:spacing w:line="525" w:lineRule="atLeast"/>
        <w:ind w:left="0" w:firstLine="645"/>
        <w:jc w:val="both"/>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项目管理情况（包括项目管理制度建设、日常检查监督等情况）</w:t>
      </w:r>
    </w:p>
    <w:p>
      <w:pPr>
        <w:pStyle w:val="5"/>
        <w:ind w:firstLine="640" w:firstLineChars="200"/>
        <w:jc w:val="both"/>
        <w:rPr>
          <w:rFonts w:hint="default" w:ascii="仿宋_GB2312" w:eastAsia="仿宋_GB2312" w:cs="仿宋_GB2312"/>
          <w:sz w:val="32"/>
          <w:szCs w:val="32"/>
        </w:rPr>
      </w:pPr>
      <w:r>
        <w:rPr>
          <w:rFonts w:hint="default" w:ascii="仿宋_GB2312" w:eastAsia="仿宋_GB2312" w:cs="仿宋_GB2312"/>
          <w:color w:val="auto"/>
          <w:sz w:val="32"/>
          <w:szCs w:val="32"/>
        </w:rPr>
        <w:t>为保障本预算项目规范实施，项目承担单位建立了相应的管理制度，明确了项目实施流程、经费使用规范、人员分工及工作职责等关键内容。在项目执行过程中，严格落实预算支出审批制度，确保资金使用合规、手续完备。同时，项目团队定期对项目进展、经费执行情况及任务完成质量进行内部检查与监督，及时发现并协调解决执行中的问题，确保项目按计划有序推进。日常管理记录、支出凭证及工作进展材料均已归档备查。</w:t>
      </w:r>
    </w:p>
    <w:p>
      <w:pPr>
        <w:pStyle w:val="5"/>
        <w:ind w:firstLine="640" w:firstLineChars="200"/>
        <w:jc w:val="both"/>
        <w:rPr>
          <w:rFonts w:hint="eastAsia" w:ascii="仿宋_GB2312" w:hAnsi="宋体" w:eastAsia="仿宋_GB2312" w:cs="仿宋_GB2312"/>
          <w:kern w:val="0"/>
          <w:sz w:val="32"/>
          <w:szCs w:val="32"/>
        </w:rPr>
      </w:pPr>
      <w:r>
        <w:rPr>
          <w:rFonts w:hint="default" w:ascii="仿宋_GB2312" w:eastAsia="仿宋_GB2312" w:cs="仿宋_GB2312"/>
          <w:color w:val="auto"/>
          <w:sz w:val="32"/>
          <w:szCs w:val="32"/>
        </w:rPr>
        <w:t>在日常管理中，建立了常态化的</w:t>
      </w:r>
      <w:r>
        <w:rPr>
          <w:rFonts w:hint="eastAsia" w:ascii="仿宋_GB2312" w:eastAsia="仿宋_GB2312" w:cs="仿宋_GB2312"/>
          <w:color w:val="auto"/>
          <w:sz w:val="32"/>
          <w:szCs w:val="32"/>
          <w:lang w:val="en-US" w:eastAsia="zh-CN"/>
        </w:rPr>
        <w:t>预算</w:t>
      </w:r>
      <w:r>
        <w:rPr>
          <w:rFonts w:hint="default" w:ascii="仿宋_GB2312" w:eastAsia="仿宋_GB2312" w:cs="仿宋_GB2312"/>
          <w:color w:val="auto"/>
          <w:sz w:val="32"/>
          <w:szCs w:val="32"/>
        </w:rPr>
        <w:t>项目进度检查与质量监控机制，定期开展项目执行情况评估、任务完成情况核查等工作，对项目实施各环节进行全过程跟踪；项目团队分工明确、协作良好，各项任务推进顺利；定期召开项目工作例会，协调解决项目执行中的具体问题，确保各阶段工作有效衔接。同时，严格落实财务管理制度，规范项目经费使用审批流程，做到专款专用、专账核算，主动接受学校财务、审计部门的监督检查，保障项目运行的合规性与透明度。通过健全的制度保障与常态化监督管理，有效推动了项目的规范实施与稳步发展。</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黑体" w:hAnsi="宋体" w:eastAsia="黑体" w:cs="黑体"/>
          <w:kern w:val="0"/>
          <w:sz w:val="32"/>
          <w:szCs w:val="32"/>
        </w:rPr>
        <w:t>四、项目绩效情况</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仿宋_GB2312" w:hAnsi="宋体" w:eastAsia="仿宋_GB2312" w:cs="仿宋_GB2312"/>
          <w:kern w:val="0"/>
          <w:sz w:val="32"/>
          <w:szCs w:val="32"/>
        </w:rPr>
        <w:t>（一）项目绩效目标完成情况。将项目实际完成情况与申报的绩效目标对比，从项目的经济性、效率性、有效性和可持续性等方面对项目绩效进行量化、具体分析。</w:t>
      </w:r>
    </w:p>
    <w:p>
      <w:pPr>
        <w:pStyle w:val="5"/>
        <w:keepNext w:val="0"/>
        <w:keepLines w:val="0"/>
        <w:widowControl/>
        <w:suppressLineNumbers w:val="0"/>
        <w:spacing w:line="525" w:lineRule="atLeast"/>
        <w:ind w:left="0" w:firstLine="645"/>
        <w:jc w:val="both"/>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pStyle w:val="2"/>
        <w:keepNext w:val="0"/>
        <w:keepLines w:val="0"/>
        <w:widowControl/>
        <w:numPr>
          <w:ilvl w:val="0"/>
          <w:numId w:val="3"/>
        </w:numPr>
        <w:suppressLineNumbers w:val="0"/>
        <w:spacing w:before="240" w:beforeAutospacing="0" w:after="0" w:afterAutospacing="0" w:line="420" w:lineRule="atLeast"/>
        <w:ind w:left="0" w:right="0" w:firstLine="640" w:firstLineChars="200"/>
        <w:jc w:val="both"/>
        <w:rPr>
          <w:rFonts w:hint="default" w:ascii="仿宋_GB2312" w:hAnsi="宋体" w:eastAsia="仿宋_GB2312" w:cs="仿宋_GB2312"/>
          <w:kern w:val="0"/>
          <w:sz w:val="32"/>
          <w:szCs w:val="32"/>
          <w:lang w:val="en-US" w:eastAsia="zh-CN" w:bidi="ar"/>
        </w:rPr>
      </w:pPr>
      <w:r>
        <w:rPr>
          <w:rFonts w:hint="eastAsia" w:ascii="仿宋_GB2312" w:eastAsia="仿宋_GB2312" w:cs="仿宋_GB2312"/>
          <w:sz w:val="32"/>
          <w:szCs w:val="32"/>
          <w:lang w:val="en-US" w:eastAsia="zh-CN" w:bidi="ar-SA"/>
        </w:rPr>
        <w:t>中美合作项目：</w:t>
      </w:r>
      <w:r>
        <w:rPr>
          <w:rFonts w:hint="default" w:ascii="仿宋_GB2312" w:hAnsi="宋体" w:eastAsia="仿宋_GB2312" w:cs="仿宋_GB2312"/>
          <w:sz w:val="32"/>
          <w:szCs w:val="32"/>
          <w:lang w:val="en-US" w:eastAsia="zh-CN" w:bidi="ar-SA"/>
        </w:rPr>
        <w:t>本项目实际完成情况与申报的绩效目标基本一致，各项指标均达到预期。从经济性来看，项目经费支出严格按预算执行，厉行节约，资金使用效益较高；从效率性来看，项目按计划节点有序推进，通过定期工作例会与进度核查机制，确保了各项任务按期完成；从有效性来看，项目实施有效提高了学生的学业水平，促进了中美两所高校之间的合作交流，本项目第二届毕业生中，赴QS世界大学排名前100高校深造的人数约占学院赴QS世界大学排名前100高校深造的毕业生总数的93%，充分体现了人才培养质量的提升；从可持续性来看，项目形成的管理制度与协作机制具有较好的可复制性和延续性，项目成果可为后续工作提供借鉴，具有良好的可持续发展前景。综上，本项目绩效目标</w:t>
      </w:r>
      <w:r>
        <w:rPr>
          <w:rFonts w:hint="default" w:ascii="仿宋_GB2312" w:hAnsi="宋体" w:eastAsia="仿宋_GB2312" w:cs="仿宋_GB2312"/>
          <w:kern w:val="0"/>
          <w:sz w:val="32"/>
          <w:szCs w:val="32"/>
          <w:lang w:val="en-US" w:eastAsia="zh-CN" w:bidi="ar"/>
        </w:rPr>
        <w:t>完成情况良好，各项指标全面达成。</w:t>
      </w:r>
    </w:p>
    <w:p>
      <w:pPr>
        <w:pStyle w:val="2"/>
        <w:numPr>
          <w:ilvl w:val="0"/>
          <w:numId w:val="3"/>
        </w:numPr>
        <w:spacing w:line="360" w:lineRule="auto"/>
        <w:ind w:left="0" w:leftChars="0" w:right="0" w:rightChars="0" w:firstLine="640" w:firstLineChars="200"/>
        <w:jc w:val="both"/>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中印合作项目：1. 管理制度建设 项目严格执行学校预算管理、专项资金管理、政府采购、合同管理等相关制度。学院结合实际制定了《中印合作办学项目教学管理规定》《经费使用实施细则》《外教管理办法》等配套制度，并与NIIT公司签订合作协议，明确双方权利义务。2. 日常检查监督 预算监督：财务处每月提供预算执行情况，学院每季度召开经费使用分析会，年度纳入学校审计范围。教学监督：教学督导组每学期听课巡查，学期末组织学生评教，2025年度师生满意度达95%。进度监督：建立项目建设进度跟踪表，对实验室改造等重点项目定期召开协调会，按程序组织竣工验收。合规监督：所有支出实行四级审核，确保专款专用，未发生截留、挤占和挪用现象。学生管理：建立学业预警和学费催缴机制，对家庭困难学生协助申请助学贷款。</w:t>
      </w:r>
    </w:p>
    <w:p>
      <w:pPr>
        <w:pStyle w:val="2"/>
        <w:numPr>
          <w:ilvl w:val="0"/>
          <w:numId w:val="3"/>
        </w:numPr>
        <w:spacing w:line="360" w:lineRule="auto"/>
        <w:ind w:left="0" w:leftChars="0" w:right="0" w:rightChars="0" w:firstLine="640" w:firstLineChars="200"/>
        <w:jc w:val="both"/>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中意合作项目：本项目整体推进情况与申报绩效目标高度契合，绩效水平良好。全年预算均为 521.76 万元，无预算调整，资金全部来源于学费收入，严格按预算执行，无超支、挪用，成本控制规范高效，实现了办学资金的自给自足。效率性方面，招生进度超额完成，办学规模稳步扩张，“3+1” 双学位培养模式高效落地，教学实施进度与质量均达预期。有效性方面，人才培养目标逐步落地，首届学生即将赴意学习，将为海南国际设计岛输送专业人才，计划 2026 年米兰教学成果展将进一步提升国际化办学影响力。可持续性方面，项目契合国家及地方多重战略方向，合作机制成熟，师资力量雄厚，办学规模与资金保障同步提升，后续发展规划清晰，具备良好的长期发展潜力。</w:t>
      </w:r>
    </w:p>
    <w:p>
      <w:pPr>
        <w:pStyle w:val="2"/>
        <w:numPr>
          <w:numId w:val="0"/>
        </w:numPr>
        <w:spacing w:line="360" w:lineRule="auto"/>
        <w:ind w:right="0" w:rightChars="0" w:firstLine="640" w:firstLineChars="200"/>
        <w:jc w:val="both"/>
        <w:rPr>
          <w:rFonts w:hint="eastAsia" w:ascii="仿宋_GB2312" w:hAnsi="宋体" w:eastAsia="仿宋_GB2312" w:cs="仿宋_GB2312"/>
          <w:kern w:val="0"/>
          <w:sz w:val="32"/>
          <w:szCs w:val="32"/>
        </w:rPr>
      </w:pPr>
      <w:r>
        <w:rPr>
          <w:rFonts w:hint="eastAsia" w:ascii="仿宋_GB2312" w:eastAsia="仿宋_GB2312" w:cs="仿宋_GB2312"/>
          <w:kern w:val="0"/>
          <w:sz w:val="32"/>
          <w:szCs w:val="32"/>
          <w:lang w:val="en-US" w:eastAsia="zh-CN" w:bidi="ar"/>
        </w:rPr>
        <w:t>4.中俄合作项目：</w:t>
      </w:r>
      <w:r>
        <w:rPr>
          <w:rFonts w:hint="eastAsia" w:ascii="仿宋_GB2312" w:hAnsi="宋体" w:eastAsia="仿宋_GB2312" w:cs="仿宋_GB2312"/>
          <w:b w:val="0"/>
          <w:bCs w:val="0"/>
          <w:i w:val="0"/>
          <w:iCs w:val="0"/>
          <w:caps w:val="0"/>
          <w:color w:val="000000"/>
          <w:spacing w:val="0"/>
          <w:kern w:val="0"/>
          <w:sz w:val="32"/>
          <w:szCs w:val="32"/>
          <w:lang w:val="en-US" w:eastAsia="zh-CN" w:bidi="ar"/>
        </w:rPr>
        <w:t>在项目实施过程中，始终坚持以基础设施和环境建设为保障，不断加大教学投入，改善办学条件，强化资源利用。教学设施和实验设备的投入与维护为项目的长期教学开展提供了硬件支撑；规范的财务管理与预算执行机制，为项目后续资金使用提供了制度保障。后续学校将持续优化项目管理，合理配置资源，不断提升项目办学质量与影响力，保障项目长期稳定、可持续发展</w:t>
      </w:r>
      <w:r>
        <w:rPr>
          <w:rFonts w:hint="eastAsia" w:ascii="仿宋_GB2312" w:eastAsia="仿宋_GB2312" w:cs="仿宋_GB2312"/>
          <w:b w:val="0"/>
          <w:bCs w:val="0"/>
          <w:i w:val="0"/>
          <w:iCs w:val="0"/>
          <w:caps w:val="0"/>
          <w:color w:val="000000"/>
          <w:spacing w:val="0"/>
          <w:kern w:val="0"/>
          <w:sz w:val="32"/>
          <w:szCs w:val="32"/>
          <w:lang w:val="en-US" w:eastAsia="zh-CN" w:bidi="ar"/>
        </w:rPr>
        <w:t>。</w:t>
      </w:r>
    </w:p>
    <w:p>
      <w:pPr>
        <w:pStyle w:val="5"/>
        <w:keepNext w:val="0"/>
        <w:keepLines w:val="0"/>
        <w:widowControl/>
        <w:suppressLineNumbers w:val="0"/>
        <w:spacing w:line="525" w:lineRule="atLeast"/>
        <w:ind w:left="0" w:firstLine="645"/>
        <w:jc w:val="both"/>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（二）项目绩效目标未完成情况及原因分析</w:t>
      </w:r>
    </w:p>
    <w:p>
      <w:pPr>
        <w:pStyle w:val="5"/>
        <w:keepNext w:val="0"/>
        <w:keepLines w:val="0"/>
        <w:widowControl/>
        <w:suppressLineNumbers w:val="0"/>
        <w:spacing w:line="525" w:lineRule="atLeast"/>
        <w:ind w:left="0" w:firstLine="645"/>
        <w:jc w:val="both"/>
        <w:rPr>
          <w:rFonts w:hint="eastAsia" w:ascii="仿宋_GB2312" w:hAnsi="宋体" w:eastAsia="仿宋_GB2312" w:cs="仿宋_GB2312"/>
          <w:kern w:val="0"/>
          <w:sz w:val="32"/>
          <w:szCs w:val="32"/>
          <w:lang w:val="en-US" w:eastAsia="zh-CN"/>
        </w:rPr>
      </w:pPr>
      <w:r>
        <w:rPr>
          <w:rFonts w:hint="eastAsia" w:ascii="仿宋_GB2312" w:eastAsia="仿宋_GB2312" w:cs="仿宋_GB2312"/>
          <w:kern w:val="0"/>
          <w:sz w:val="32"/>
          <w:szCs w:val="32"/>
          <w:lang w:val="en-US" w:eastAsia="zh-CN"/>
        </w:rPr>
        <w:t>无</w:t>
      </w:r>
    </w:p>
    <w:p>
      <w:pPr>
        <w:pStyle w:val="5"/>
        <w:keepNext w:val="0"/>
        <w:keepLines w:val="0"/>
        <w:widowControl/>
        <w:suppressLineNumbers w:val="0"/>
        <w:spacing w:line="525" w:lineRule="atLeast"/>
        <w:ind w:left="0" w:firstLine="645"/>
        <w:jc w:val="both"/>
        <w:rPr>
          <w:rFonts w:hint="eastAsia" w:ascii="宋体" w:hAnsi="宋体" w:eastAsia="宋体" w:cs="宋体"/>
          <w:kern w:val="0"/>
          <w:sz w:val="32"/>
          <w:szCs w:val="32"/>
        </w:rPr>
      </w:pPr>
      <w:r>
        <w:rPr>
          <w:rFonts w:hint="eastAsia" w:ascii="黑体" w:hAnsi="宋体" w:eastAsia="黑体" w:cs="黑体"/>
          <w:kern w:val="0"/>
          <w:sz w:val="32"/>
          <w:szCs w:val="32"/>
        </w:rPr>
        <w:t>五、其他需要说明的问题</w:t>
      </w:r>
    </w:p>
    <w:p>
      <w:pPr>
        <w:pStyle w:val="5"/>
        <w:keepNext w:val="0"/>
        <w:keepLines w:val="0"/>
        <w:widowControl/>
        <w:suppressLineNumbers w:val="0"/>
        <w:spacing w:line="525" w:lineRule="atLeast"/>
        <w:ind w:left="0" w:firstLine="645"/>
        <w:jc w:val="both"/>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（一）后续工作计划</w:t>
      </w:r>
    </w:p>
    <w:p>
      <w:pPr>
        <w:pStyle w:val="5"/>
        <w:ind w:firstLine="640" w:firstLineChars="200"/>
        <w:jc w:val="both"/>
        <w:rPr>
          <w:rFonts w:hint="eastAsia" w:ascii="仿宋_GB2312" w:hAnsi="宋体" w:eastAsia="仿宋_GB2312" w:cs="仿宋_GB2312"/>
          <w:kern w:val="0"/>
          <w:sz w:val="32"/>
          <w:szCs w:val="32"/>
          <w:lang w:val="en-US" w:eastAsia="zh-CN" w:bidi="ar"/>
        </w:rPr>
      </w:pPr>
      <w:r>
        <w:rPr>
          <w:rFonts w:hint="default" w:ascii="仿宋_GB2312" w:hAnsi="宋体" w:eastAsia="仿宋_GB2312" w:cs="仿宋_GB2312"/>
          <w:b w:val="0"/>
          <w:bCs w:val="0"/>
          <w:i w:val="0"/>
          <w:iCs w:val="0"/>
          <w:caps w:val="0"/>
          <w:color w:val="000000"/>
          <w:spacing w:val="0"/>
          <w:kern w:val="0"/>
          <w:sz w:val="32"/>
          <w:szCs w:val="32"/>
          <w:lang w:val="en-US" w:eastAsia="zh-CN" w:bidi="ar"/>
        </w:rPr>
        <w:t>结合本项目实施情况及年度绩效目标完成情况，为持续推进项目提质增效、圆满达成合作办学核心目标，后续将重点围绕以下几方面开展工作：一是</w:t>
      </w:r>
      <w:r>
        <w:rPr>
          <w:rFonts w:hint="eastAsia" w:ascii="仿宋_GB2312" w:hAnsi="宋体" w:eastAsia="仿宋_GB2312" w:cs="仿宋_GB2312"/>
          <w:b w:val="0"/>
          <w:bCs w:val="0"/>
          <w:i w:val="0"/>
          <w:iCs w:val="0"/>
          <w:caps w:val="0"/>
          <w:color w:val="000000"/>
          <w:spacing w:val="0"/>
          <w:kern w:val="0"/>
          <w:sz w:val="32"/>
          <w:szCs w:val="32"/>
          <w:lang w:val="en-US" w:eastAsia="zh-CN" w:bidi="ar"/>
        </w:rPr>
        <w:t>优化学前教育中美合作项目办学质量，具体涵盖外教课程建设与管理、项目学生学风建设、项目学生学业水平提升、项目学生跨文化交流活动、中方教师国际化水平提升及学术交流活动等方面</w:t>
      </w:r>
      <w:r>
        <w:rPr>
          <w:rFonts w:hint="default" w:ascii="仿宋_GB2312" w:hAnsi="宋体" w:eastAsia="仿宋_GB2312" w:cs="仿宋_GB2312"/>
          <w:b w:val="0"/>
          <w:bCs w:val="0"/>
          <w:i w:val="0"/>
          <w:iCs w:val="0"/>
          <w:caps w:val="0"/>
          <w:color w:val="000000"/>
          <w:spacing w:val="0"/>
          <w:kern w:val="0"/>
          <w:sz w:val="32"/>
          <w:szCs w:val="32"/>
          <w:lang w:val="en-US" w:eastAsia="zh-CN" w:bidi="ar"/>
        </w:rPr>
        <w:t>；二是规范外方管理费支付流程，梳理未按时支付的</w:t>
      </w:r>
      <w:r>
        <w:rPr>
          <w:rFonts w:hint="eastAsia" w:ascii="仿宋_GB2312" w:hAnsi="宋体" w:eastAsia="仿宋_GB2312" w:cs="仿宋_GB2312"/>
          <w:b w:val="0"/>
          <w:bCs w:val="0"/>
          <w:i w:val="0"/>
          <w:iCs w:val="0"/>
          <w:caps w:val="0"/>
          <w:color w:val="000000"/>
          <w:spacing w:val="0"/>
          <w:kern w:val="0"/>
          <w:sz w:val="32"/>
          <w:szCs w:val="32"/>
          <w:lang w:val="en-US" w:eastAsia="zh-CN" w:bidi="ar"/>
        </w:rPr>
        <w:t>2022级、2023级、2024级</w:t>
      </w:r>
      <w:r>
        <w:rPr>
          <w:rFonts w:hint="default" w:ascii="仿宋_GB2312" w:hAnsi="宋体" w:eastAsia="仿宋_GB2312" w:cs="仿宋_GB2312"/>
          <w:b w:val="0"/>
          <w:bCs w:val="0"/>
          <w:i w:val="0"/>
          <w:iCs w:val="0"/>
          <w:caps w:val="0"/>
          <w:color w:val="000000"/>
          <w:spacing w:val="0"/>
          <w:kern w:val="0"/>
          <w:sz w:val="32"/>
          <w:szCs w:val="32"/>
          <w:lang w:val="en-US" w:eastAsia="zh-CN" w:bidi="ar"/>
        </w:rPr>
        <w:t>管理费对应验收事项，加快流程推进，提前对接各项管理费支付所需材料，确保后续所有外方管理费按时足额支付；</w:t>
      </w:r>
      <w:r>
        <w:rPr>
          <w:rFonts w:hint="eastAsia" w:ascii="仿宋_GB2312" w:hAnsi="宋体" w:eastAsia="仿宋_GB2312" w:cs="仿宋_GB2312"/>
          <w:b w:val="0"/>
          <w:bCs w:val="0"/>
          <w:i w:val="0"/>
          <w:iCs w:val="0"/>
          <w:caps w:val="0"/>
          <w:color w:val="000000"/>
          <w:spacing w:val="0"/>
          <w:kern w:val="0"/>
          <w:sz w:val="32"/>
          <w:szCs w:val="32"/>
          <w:lang w:val="en-US" w:eastAsia="zh-CN" w:bidi="ar"/>
        </w:rPr>
        <w:t>三</w:t>
      </w:r>
      <w:r>
        <w:rPr>
          <w:rFonts w:hint="default" w:ascii="仿宋_GB2312" w:hAnsi="宋体" w:eastAsia="仿宋_GB2312" w:cs="仿宋_GB2312"/>
          <w:b w:val="0"/>
          <w:bCs w:val="0"/>
          <w:i w:val="0"/>
          <w:iCs w:val="0"/>
          <w:caps w:val="0"/>
          <w:color w:val="000000"/>
          <w:spacing w:val="0"/>
          <w:kern w:val="0"/>
          <w:sz w:val="32"/>
          <w:szCs w:val="32"/>
          <w:lang w:val="en-US" w:eastAsia="zh-CN" w:bidi="ar"/>
        </w:rPr>
        <w:t>是优化项目管理体系，结合项目实施中的问题，进一步修订完善各项管理制度，提升跨文化沟通效</w:t>
      </w:r>
      <w:r>
        <w:rPr>
          <w:rFonts w:hint="default" w:ascii="仿宋_GB2312" w:hAnsi="宋体" w:eastAsia="仿宋_GB2312" w:cs="仿宋_GB2312"/>
          <w:kern w:val="0"/>
          <w:sz w:val="32"/>
          <w:szCs w:val="32"/>
          <w:lang w:val="en-US" w:eastAsia="zh-CN" w:bidi="ar"/>
        </w:rPr>
        <w:t>率，优化检查监督与反馈整改机制，强化项目全流程管控，确保项目持续平稳推进，实现合作办学高质量发展。</w:t>
      </w:r>
    </w:p>
    <w:p>
      <w:pPr>
        <w:pStyle w:val="5"/>
        <w:keepNext w:val="0"/>
        <w:keepLines w:val="0"/>
        <w:widowControl/>
        <w:numPr>
          <w:numId w:val="0"/>
        </w:numPr>
        <w:suppressLineNumbers w:val="0"/>
        <w:spacing w:line="525" w:lineRule="atLeast"/>
        <w:ind w:left="645" w:leftChars="0" w:right="0" w:rightChars="0"/>
        <w:jc w:val="both"/>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（二）主要经验及做法、存在问题和建议</w:t>
      </w:r>
    </w:p>
    <w:p>
      <w:pPr>
        <w:pStyle w:val="2"/>
        <w:keepNext w:val="0"/>
        <w:keepLines w:val="0"/>
        <w:widowControl/>
        <w:suppressLineNumbers w:val="0"/>
        <w:spacing w:line="263" w:lineRule="atLeast"/>
        <w:ind w:firstLine="640" w:firstLineChars="200"/>
        <w:jc w:val="both"/>
        <w:rPr>
          <w:rFonts w:hint="default"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1.</w:t>
      </w:r>
      <w:r>
        <w:rPr>
          <w:rFonts w:hint="default" w:ascii="仿宋_GB2312" w:hAnsi="宋体" w:eastAsia="仿宋_GB2312" w:cs="仿宋_GB2312"/>
          <w:kern w:val="0"/>
          <w:sz w:val="32"/>
          <w:szCs w:val="32"/>
          <w:lang w:val="en-US" w:eastAsia="zh-CN" w:bidi="ar"/>
        </w:rPr>
        <w:t>强化预算精细化管理，优化支出结构</w:t>
      </w:r>
    </w:p>
    <w:p>
      <w:pPr>
        <w:pStyle w:val="2"/>
        <w:keepNext w:val="0"/>
        <w:keepLines w:val="0"/>
        <w:widowControl/>
        <w:suppressLineNumbers w:val="0"/>
        <w:spacing w:line="263" w:lineRule="atLeast"/>
        <w:ind w:firstLine="640" w:firstLineChars="200"/>
        <w:jc w:val="both"/>
        <w:rPr>
          <w:rFonts w:hint="default" w:ascii="仿宋_GB2312" w:hAnsi="宋体" w:eastAsia="仿宋_GB2312" w:cs="仿宋_GB2312"/>
          <w:kern w:val="0"/>
          <w:sz w:val="32"/>
          <w:szCs w:val="32"/>
          <w:lang w:val="en-US" w:eastAsia="zh-CN" w:bidi="ar"/>
        </w:rPr>
      </w:pPr>
      <w:r>
        <w:rPr>
          <w:rFonts w:hint="default" w:ascii="仿宋_GB2312" w:hAnsi="宋体" w:eastAsia="仿宋_GB2312" w:cs="仿宋_GB2312"/>
          <w:kern w:val="0"/>
          <w:sz w:val="32"/>
          <w:szCs w:val="32"/>
          <w:lang w:val="en-US" w:eastAsia="zh-CN" w:bidi="ar"/>
        </w:rPr>
        <w:t>结合中外合作办学的业务特点，对差旅费、劳务费、委托业务费等重点支出项目进行科学测算与动态调整。优先保障教学核心业务与对外交流活动的资金需求，同时对非刚性支出进行严格控制，实现了预算资金的精准投放与高效利用，预算执行率达到97%，资金使用效益显著。</w:t>
      </w:r>
    </w:p>
    <w:p>
      <w:pPr>
        <w:pStyle w:val="2"/>
        <w:keepNext w:val="0"/>
        <w:keepLines w:val="0"/>
        <w:widowControl/>
        <w:suppressLineNumbers w:val="0"/>
        <w:spacing w:line="263" w:lineRule="atLeast"/>
        <w:ind w:firstLine="640" w:firstLineChars="200"/>
        <w:jc w:val="both"/>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2.加强跨部门协同联动，提升项目管理效率</w:t>
      </w:r>
    </w:p>
    <w:p>
      <w:pPr>
        <w:pStyle w:val="2"/>
        <w:keepNext w:val="0"/>
        <w:keepLines w:val="0"/>
        <w:widowControl/>
        <w:suppressLineNumbers w:val="0"/>
        <w:spacing w:line="263" w:lineRule="atLeast"/>
        <w:ind w:firstLine="640" w:firstLineChars="200"/>
        <w:jc w:val="both"/>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建立了由教务处、财务处、国际交流合作处等多部门组成的项目管理工作小组，定期召开协调会议，统筹推进教学管理、对外交流、财务保障等各项工作。通过明确职责分工、强化沟通协作，有效解决了跨境办学中的沟通不畅、流程复杂等问题，保障了项目的平稳有序运行。</w:t>
      </w:r>
    </w:p>
    <w:p>
      <w:pPr>
        <w:pStyle w:val="2"/>
        <w:keepNext w:val="0"/>
        <w:keepLines w:val="0"/>
        <w:widowControl/>
        <w:suppressLineNumbers w:val="0"/>
        <w:spacing w:line="263" w:lineRule="atLeast"/>
        <w:ind w:firstLine="640" w:firstLineChars="200"/>
        <w:jc w:val="both"/>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3.重视风险防控，建立跨境合作保障机制</w:t>
      </w:r>
    </w:p>
    <w:p>
      <w:pPr>
        <w:pStyle w:val="2"/>
        <w:keepNext w:val="0"/>
        <w:keepLines w:val="0"/>
        <w:widowControl/>
        <w:suppressLineNumbers w:val="0"/>
        <w:spacing w:line="263" w:lineRule="atLeast"/>
        <w:ind w:firstLine="640" w:firstLineChars="200"/>
        <w:jc w:val="both"/>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针对跨境办学的特殊性，提前预判了跨境支付、政策变动、不可抗力等潜在风险，制定了相应的应对预案。通过与俄方合作院校建立常态化沟通机制，及时协商解决合作过程中出现的问题，保障了项目合作的稳定性与连续性。</w:t>
      </w:r>
    </w:p>
    <w:p>
      <w:pPr>
        <w:pStyle w:val="5"/>
        <w:keepNext w:val="0"/>
        <w:keepLines w:val="0"/>
        <w:widowControl/>
        <w:numPr>
          <w:numId w:val="0"/>
        </w:numPr>
        <w:suppressLineNumbers w:val="0"/>
        <w:spacing w:line="525" w:lineRule="atLeast"/>
        <w:ind w:left="645" w:leftChars="0" w:right="0" w:rightChars="0"/>
        <w:jc w:val="both"/>
        <w:rPr>
          <w:rFonts w:hint="eastAsia" w:ascii="仿宋_GB2312" w:hAnsi="宋体" w:eastAsia="仿宋_GB2312" w:cs="仿宋_GB2312"/>
          <w:kern w:val="0"/>
          <w:sz w:val="32"/>
          <w:szCs w:val="32"/>
          <w:lang w:val="en-US" w:eastAsia="zh-CN" w:bidi="ar"/>
        </w:rPr>
      </w:pPr>
    </w:p>
    <w:p>
      <w:pPr>
        <w:pStyle w:val="5"/>
        <w:keepNext w:val="0"/>
        <w:keepLines w:val="0"/>
        <w:widowControl/>
        <w:suppressLineNumbers w:val="0"/>
        <w:spacing w:line="525" w:lineRule="atLeast"/>
        <w:ind w:left="0" w:firstLine="645"/>
        <w:jc w:val="both"/>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（包括资金安排、使用过程中的经验、做法、存在问题、改进措施和有关建议等）</w:t>
      </w:r>
    </w:p>
    <w:p>
      <w:pPr>
        <w:pStyle w:val="5"/>
        <w:keepNext w:val="0"/>
        <w:keepLines w:val="0"/>
        <w:widowControl/>
        <w:suppressLineNumbers w:val="0"/>
        <w:jc w:val="both"/>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 xml:space="preserve"> </w:t>
      </w:r>
    </w:p>
    <w:p>
      <w:pPr>
        <w:jc w:val="both"/>
        <w:rPr>
          <w:rFonts w:hint="eastAsia" w:ascii="仿宋_GB2312" w:hAnsi="宋体" w:eastAsia="仿宋_GB2312" w:cs="仿宋_GB2312"/>
          <w:kern w:val="0"/>
          <w:sz w:val="32"/>
          <w:szCs w:val="32"/>
          <w:lang w:val="en-US" w:eastAsia="zh-CN" w:bidi="ar"/>
        </w:rPr>
      </w:pP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CB026F"/>
    <w:multiLevelType w:val="singleLevel"/>
    <w:tmpl w:val="EACB026F"/>
    <w:lvl w:ilvl="0" w:tentative="0">
      <w:start w:val="2"/>
      <w:numFmt w:val="chineseCounting"/>
      <w:suff w:val="nothing"/>
      <w:lvlText w:val="（%1）"/>
      <w:lvlJc w:val="left"/>
      <w:rPr>
        <w:rFonts w:hint="eastAsia"/>
      </w:rPr>
    </w:lvl>
  </w:abstractNum>
  <w:abstractNum w:abstractNumId="1">
    <w:nsid w:val="07526A7D"/>
    <w:multiLevelType w:val="singleLevel"/>
    <w:tmpl w:val="07526A7D"/>
    <w:lvl w:ilvl="0" w:tentative="0">
      <w:start w:val="4"/>
      <w:numFmt w:val="chineseCounting"/>
      <w:suff w:val="nothing"/>
      <w:lvlText w:val="（%1）"/>
      <w:lvlJc w:val="left"/>
      <w:rPr>
        <w:rFonts w:hint="eastAsia"/>
      </w:rPr>
    </w:lvl>
  </w:abstractNum>
  <w:abstractNum w:abstractNumId="2">
    <w:nsid w:val="4E9806AF"/>
    <w:multiLevelType w:val="singleLevel"/>
    <w:tmpl w:val="4E9806AF"/>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F264C"/>
    <w:rsid w:val="57DD6C8E"/>
    <w:rsid w:val="71604FA9"/>
    <w:rsid w:val="7D5C0A2B"/>
    <w:rsid w:val="7DD363DC"/>
    <w:rsid w:val="7F4B6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 w:type="paragraph" w:customStyle="1" w:styleId="5">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6">
    <w:name w:val="15"/>
    <w:basedOn w:val="4"/>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2026-04-28T02:55:30Z</dcterms:created>
  <dc:creator>lenovo</dc:creator>
  <cp:lastModifiedBy>晓宇</cp:lastModifiedBy>
  <dcterms:modified xsi:type="dcterms:W3CDTF">2026-04-28T04:05:44Z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